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61"/>
        <w:gridCol w:w="1800"/>
      </w:tblGrid>
      <w:tr>
        <w:tc>
          <w:tcPr>
            <w:tcW w:type="dxa" w:w="76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0D1B2A"/>
                <w:sz w:val="52"/>
              </w:rPr>
              <w:t>Phawin Surathatsaneevastanapon</w:t>
            </w:r>
          </w:p>
          <w:p>
            <w:pPr>
              <w:spacing w:after="0"/>
            </w:pPr>
            <w:r>
              <w:rPr>
                <w:rFonts w:ascii="Georgia" w:hAnsi="Georgia"/>
                <w:i/>
                <w:color w:val="C8A45E"/>
                <w:sz w:val="26"/>
              </w:rPr>
              <w:t>Country Brand Manager — Vaccines</w:t>
            </w:r>
          </w:p>
        </w:tc>
        <w:tc>
          <w:tcPr>
            <w:tcW w:type="dxa" w:w="18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0" cy="14339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awin_0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433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/>
        <w:pBdr>
          <w:bottom w:val="single" w:sz="10" w:space="1" w:color="C8A45E"/>
        </w:pBdr>
      </w:pP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EXECUTIVE SUMMARY</w:t>
      </w:r>
    </w:p>
    <w:p>
      <w:pPr>
        <w:spacing w:after="280"/>
      </w:pPr>
      <w:r>
        <w:rPr>
          <w:sz w:val="21"/>
        </w:rPr>
        <w:t xml:space="preserve"> 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CORE SKILLS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Brand &amp; Launch Strategy  •  Marketing Analytics (Tableau, Power BI, SAS)  •  Project Management  •  Cross-functional Leadership  •  KOL &amp; HCP Engagement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PROFESSIONAL EXPERIENCE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Pfizer (Thailand) Limited — Country Brand Manager, RSV Vaccine</w:t>
      </w:r>
      <w:r>
        <w:tab/>
      </w:r>
      <w:r>
        <w:rPr>
          <w:rFonts w:ascii="Calibri" w:hAnsi="Calibri"/>
          <w:i/>
          <w:color w:val="6B7280"/>
          <w:sz w:val="19"/>
        </w:rPr>
        <w:t>Nov 2024 – Oct 2025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Led end-to-end launch strategy across maternal and older-adult segments, including the national Grand Launch Event.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Coordinated with Global and Regional teams to launch promotional materials within 72 hours of a real-world effectiveness publication.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Achieved over THB 100 million in sales in the first year, exceeding target by more than 400%.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Biovalys Company Limited — Product Manager, Vaccine Portfolio</w:t>
      </w:r>
      <w:r>
        <w:tab/>
      </w:r>
      <w:r>
        <w:rPr>
          <w:rFonts w:ascii="Calibri" w:hAnsi="Calibri"/>
          <w:i/>
          <w:color w:val="6B7280"/>
          <w:sz w:val="19"/>
        </w:rPr>
        <w:t>Dec 2023 – Nov 2024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Led brand strategy, positioning, and marketing activities for the vaccine portfolio.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Identified and developed new KOL relationships to expand influence and engagement.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Partnered with the Bangkok Metropolitan Administration to expand vaccine access and awareness.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Pfizer (Thailand) Limited — Marketing Intern / Therapeutic Sales Representative</w:t>
      </w:r>
      <w:r>
        <w:tab/>
      </w:r>
      <w:r>
        <w:rPr>
          <w:rFonts w:ascii="Calibri" w:hAnsi="Calibri"/>
          <w:i/>
          <w:color w:val="6B7280"/>
          <w:sz w:val="19"/>
        </w:rPr>
        <w:t>Jul 2016 – Aug 2021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Developed key messaging strategy and marketing materials with the product marketing team.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Built HCP relationships and delivered product training, simplifying complex clinical concepts.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Boehringer Ingelheim — Medical Sales Representative, Cardiovascular</w:t>
      </w:r>
      <w:r>
        <w:tab/>
      </w:r>
      <w:r>
        <w:rPr>
          <w:rFonts w:ascii="Calibri" w:hAnsi="Calibri"/>
          <w:i/>
          <w:color w:val="6B7280"/>
          <w:sz w:val="19"/>
        </w:rPr>
        <w:t>Jul 2015 – Jun 2016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Conducted competitive market analysis, driving a 20% increase in market share and 110% of sales target.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EDUCATION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MBA, Healthcare Leadership &amp; Management / Marketing &amp; Management, Stevens Institute of Technology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May 2023 · Hoboken, NJ, USA · GPA 3.95/4.0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Doctor of Pharmacy (PharmD.), Chulalongkorn University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Mar 2015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CERTIFICATIONS &amp; AWARDS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Top Achievement Target Sales Award — Pfizer, 2019 (125% of target)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Top Incremental Market Share &amp; Market Growth Sales Awards — Pfizer, 2016 &amp; 2018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48" w:right="1224" w:bottom="1008" w:left="122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center"/>
    </w:pPr>
    <w:r>
      <w:rPr>
        <w:rFonts w:ascii="Calibri" w:hAnsi="Calibri"/>
        <w:color w:val="6B7280"/>
        <w:sz w:val="15"/>
      </w:rPr>
      <w:t>HLS Bridge Advisory Co., Ltd. · No. 555, Rasa One, Building A, 2nd Floor, Phaholyothin Road, Chatuchak Sub-District, Chatuchak District, Bangkok, 10900</w:t>
    </w:r>
  </w:p>
  <w:p>
    <w:pPr>
      <w:spacing w:before="0"/>
      <w:jc w:val="center"/>
    </w:pPr>
    <w:r>
      <w:rPr>
        <w:rFonts w:ascii="Calibri" w:hAnsi="Calibri"/>
        <w:color w:val="6B7280"/>
        <w:sz w:val="16"/>
      </w:rPr>
      <w:t>Confidential</w:t>
    </w:r>
    <w:r>
      <w:rPr>
        <w:rFonts w:ascii="Calibri" w:hAnsi="Calibri"/>
        <w:color w:val="6B7280"/>
        <w:sz w:val="16"/>
      </w:rPr>
      <w:t xml:space="preserve">  ·  </w:t>
    </w:r>
    <w:r>
      <w:rPr>
        <w:rFonts w:ascii="Calibri" w:hAnsi="Calibri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1554480" cy="6307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LSBridgeAdvisory_Logo-NoTagline-Nav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6307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