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7661"/>
        <w:gridCol w:w="1800"/>
      </w:tblGrid>
      <w:tr>
        <w:tc>
          <w:tcPr>
            <w:tcW w:type="dxa" w:w="766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spacing w:after="40"/>
            </w:pPr>
            <w:r>
              <w:rPr>
                <w:rFonts w:ascii="Georgia" w:hAnsi="Georgia"/>
                <w:b/>
                <w:color w:val="0D1B2A"/>
                <w:sz w:val="52"/>
              </w:rPr>
              <w:t>Suthida Tangchainavaphum</w:t>
            </w:r>
          </w:p>
          <w:p>
            <w:pPr>
              <w:spacing w:after="0"/>
            </w:pPr>
            <w:r>
              <w:rPr>
                <w:rFonts w:ascii="Georgia" w:hAnsi="Georgia"/>
                <w:i/>
                <w:color w:val="C8A45E"/>
                <w:sz w:val="26"/>
              </w:rPr>
              <w:t>Product Manager — Pharmaceutical &amp; Medical Device Marketing</w:t>
            </w:r>
          </w:p>
        </w:tc>
        <w:tc>
          <w:tcPr>
            <w:tcW w:type="dxa" w:w="1800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51560" cy="133956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uthida_1.jpe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13395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120"/>
        <w:pBdr>
          <w:bottom w:val="single" w:sz="10" w:space="1" w:color="C8A45E"/>
        </w:pBdr>
      </w:pPr>
    </w:p>
    <w:p>
      <w:pPr>
        <w:spacing w:before="200" w:after="80"/>
        <w:pBdr>
          <w:bottom w:val="single" w:sz="6" w:space="4" w:color="C8A45E"/>
        </w:pBdr>
      </w:pPr>
      <w:r>
        <w:rPr>
          <w:rFonts w:ascii="Georgia" w:hAnsi="Georgia"/>
          <w:b/>
          <w:color w:val="0D1B2A"/>
          <w:sz w:val="26"/>
        </w:rPr>
        <w:t>EXECUTIVE SUMMARY</w:t>
      </w:r>
    </w:p>
    <w:p>
      <w:pPr>
        <w:spacing w:after="100"/>
      </w:pPr>
      <w:r>
        <w:rPr>
          <w:rFonts w:ascii="Calibri" w:hAnsi="Calibri"/>
          <w:i w:val="0"/>
          <w:color w:val="2E3440"/>
          <w:sz w:val="21"/>
        </w:rPr>
        <w:t>Strategic and analytical marketing leader with 15+ years of experience across pharmaceutical, medical device, and healthcare portfolios. Strong track record in e-bidding and pricing strategy, market-share growth, and cross-functional stakeholder collaboration.</w:t>
      </w:r>
    </w:p>
    <w:p>
      <w:pPr>
        <w:spacing w:before="200" w:after="80"/>
        <w:pBdr>
          <w:bottom w:val="single" w:sz="6" w:space="4" w:color="C8A45E"/>
        </w:pBdr>
      </w:pPr>
      <w:r>
        <w:rPr>
          <w:rFonts w:ascii="Georgia" w:hAnsi="Georgia"/>
          <w:b/>
          <w:color w:val="0D1B2A"/>
          <w:sz w:val="26"/>
        </w:rPr>
        <w:t>CORE SKILLS</w:t>
      </w:r>
    </w:p>
    <w:p>
      <w:pPr>
        <w:spacing w:after="100"/>
      </w:pPr>
      <w:r>
        <w:rPr>
          <w:rFonts w:ascii="Calibri" w:hAnsi="Calibri"/>
          <w:i w:val="0"/>
          <w:color w:val="2E3440"/>
          <w:sz w:val="21"/>
        </w:rPr>
        <w:t>Strategic Planning  •  Pricing &amp; E-bidding Strategy  •  Digital Marketing  •  Cross-functional Leadership  •  Analytical &amp; Problem-Solving Skills</w:t>
      </w:r>
    </w:p>
    <w:p>
      <w:pPr>
        <w:spacing w:before="200" w:after="80"/>
        <w:pBdr>
          <w:bottom w:val="single" w:sz="6" w:space="4" w:color="C8A45E"/>
        </w:pBdr>
      </w:pPr>
      <w:r>
        <w:rPr>
          <w:rFonts w:ascii="Georgia" w:hAnsi="Georgia"/>
          <w:b/>
          <w:color w:val="0D1B2A"/>
          <w:sz w:val="26"/>
        </w:rPr>
        <w:t>PROFESSIONAL EXPERIENCE</w:t>
      </w:r>
    </w:p>
    <w:p>
      <w:pPr>
        <w:tabs>
          <w:tab w:pos="9461" w:val="right"/>
        </w:tabs>
        <w:spacing w:before="140" w:after="20"/>
      </w:pPr>
      <w:r>
        <w:rPr>
          <w:rFonts w:ascii="Calibri" w:hAnsi="Calibri"/>
          <w:b/>
          <w:color w:val="0D1B2A"/>
          <w:sz w:val="22"/>
        </w:rPr>
        <w:t>Kyowa Kirin Ltd. — Product Manager</w:t>
      </w:r>
      <w:r>
        <w:tab/>
      </w:r>
      <w:r>
        <w:rPr>
          <w:rFonts w:ascii="Calibri" w:hAnsi="Calibri"/>
          <w:i/>
          <w:color w:val="6B7280"/>
          <w:sz w:val="19"/>
        </w:rPr>
        <w:t>2023 – Present</w:t>
      </w:r>
    </w:p>
    <w:p>
      <w:pPr>
        <w:pStyle w:val="ListBullet"/>
        <w:spacing w:after="40"/>
        <w:ind w:left="317"/>
      </w:pPr>
      <w:r>
        <w:rPr>
          <w:rFonts w:ascii="Calibri" w:hAnsi="Calibri"/>
          <w:color w:val="2E3440"/>
          <w:sz w:val="21"/>
        </w:rPr>
        <w:t>Manage the Nephrology portfolio (Chronic Kidney Disease with Anemia and Secondary Hyperparathyroidism).</w:t>
      </w:r>
    </w:p>
    <w:p>
      <w:pPr>
        <w:pStyle w:val="ListBullet"/>
        <w:spacing w:after="40"/>
        <w:ind w:left="317"/>
      </w:pPr>
      <w:r>
        <w:rPr>
          <w:rFonts w:ascii="Calibri" w:hAnsi="Calibri"/>
          <w:color w:val="2E3440"/>
          <w:sz w:val="21"/>
        </w:rPr>
        <w:t>Developed price-performance calculators to win e-bidding tenders with zero losses in 2023.</w:t>
      </w:r>
    </w:p>
    <w:p>
      <w:pPr>
        <w:pStyle w:val="ListBullet"/>
        <w:spacing w:after="40"/>
        <w:ind w:left="317"/>
      </w:pPr>
      <w:r>
        <w:rPr>
          <w:rFonts w:ascii="Calibri" w:hAnsi="Calibri"/>
          <w:color w:val="2E3440"/>
          <w:sz w:val="21"/>
        </w:rPr>
        <w:t>Built pricing-comparison tools that established market leadership in long-acting ESAs in 2023.</w:t>
      </w:r>
    </w:p>
    <w:p>
      <w:pPr>
        <w:tabs>
          <w:tab w:pos="9461" w:val="right"/>
        </w:tabs>
        <w:spacing w:before="140" w:after="20"/>
      </w:pPr>
      <w:r>
        <w:rPr>
          <w:rFonts w:ascii="Calibri" w:hAnsi="Calibri"/>
          <w:b/>
          <w:color w:val="0D1B2A"/>
          <w:sz w:val="22"/>
        </w:rPr>
        <w:t>Zuellig Pharma Ltd. (Eli Lilly Exclusive Team) — Product Manager</w:t>
      </w:r>
      <w:r>
        <w:tab/>
      </w:r>
      <w:r>
        <w:rPr>
          <w:rFonts w:ascii="Calibri" w:hAnsi="Calibri"/>
          <w:i/>
          <w:color w:val="6B7280"/>
          <w:sz w:val="19"/>
        </w:rPr>
        <w:t>2019 – 2022</w:t>
      </w:r>
    </w:p>
    <w:p>
      <w:pPr>
        <w:pStyle w:val="ListBullet"/>
        <w:spacing w:after="40"/>
        <w:ind w:left="317"/>
      </w:pPr>
      <w:r>
        <w:rPr>
          <w:rFonts w:ascii="Calibri" w:hAnsi="Calibri"/>
          <w:color w:val="2E3440"/>
          <w:sz w:val="21"/>
        </w:rPr>
        <w:t>Managed Diabetes (insulin analogues) and Men's Health portfolios across ethical and OTC channels.</w:t>
      </w:r>
    </w:p>
    <w:p>
      <w:pPr>
        <w:pStyle w:val="ListBullet"/>
        <w:spacing w:after="40"/>
        <w:ind w:left="317"/>
      </w:pPr>
      <w:r>
        <w:rPr>
          <w:rFonts w:ascii="Calibri" w:hAnsi="Calibri"/>
          <w:color w:val="2E3440"/>
          <w:sz w:val="21"/>
        </w:rPr>
        <w:t>Developed a switching program to gain market share from key insulin competitors.</w:t>
      </w:r>
    </w:p>
    <w:p>
      <w:pPr>
        <w:pStyle w:val="ListBullet"/>
        <w:spacing w:after="40"/>
        <w:ind w:left="317"/>
      </w:pPr>
      <w:r>
        <w:rPr>
          <w:rFonts w:ascii="Calibri" w:hAnsi="Calibri"/>
          <w:color w:val="2E3440"/>
          <w:sz w:val="21"/>
        </w:rPr>
        <w:t>Winner, Digital Innovation Award (2020), for a multichannel safety-engagement program.</w:t>
      </w:r>
    </w:p>
    <w:p>
      <w:pPr>
        <w:tabs>
          <w:tab w:pos="9461" w:val="right"/>
        </w:tabs>
        <w:spacing w:before="140" w:after="20"/>
      </w:pPr>
      <w:r>
        <w:rPr>
          <w:rFonts w:ascii="Calibri" w:hAnsi="Calibri"/>
          <w:b/>
          <w:color w:val="0D1B2A"/>
          <w:sz w:val="22"/>
        </w:rPr>
        <w:t>3M (Thailand) Limited — Marketing Supervisor</w:t>
      </w:r>
      <w:r>
        <w:tab/>
      </w:r>
      <w:r>
        <w:rPr>
          <w:rFonts w:ascii="Calibri" w:hAnsi="Calibri"/>
          <w:i/>
          <w:color w:val="6B7280"/>
          <w:sz w:val="19"/>
        </w:rPr>
        <w:t>2017 – 2018</w:t>
      </w:r>
    </w:p>
    <w:p>
      <w:pPr>
        <w:pStyle w:val="ListBullet"/>
        <w:spacing w:after="40"/>
        <w:ind w:left="317"/>
      </w:pPr>
      <w:r>
        <w:rPr>
          <w:rFonts w:ascii="Calibri" w:hAnsi="Calibri"/>
          <w:color w:val="2E3440"/>
          <w:sz w:val="21"/>
        </w:rPr>
        <w:t>Led the Medical Device business in Thailand and the SEA Frontier Market (Myanmar, Laos, Cambodia, Bangladesh, Nepal, Bhutan).</w:t>
      </w:r>
    </w:p>
    <w:p>
      <w:pPr>
        <w:pStyle w:val="ListBullet"/>
        <w:spacing w:after="40"/>
        <w:ind w:left="317"/>
      </w:pPr>
      <w:r>
        <w:rPr>
          <w:rFonts w:ascii="Calibri" w:hAnsi="Calibri"/>
          <w:color w:val="2E3440"/>
          <w:sz w:val="21"/>
        </w:rPr>
        <w:t>Launched an e-commerce platform with a major regional partner and a new Malaysia channel partner.</w:t>
      </w:r>
    </w:p>
    <w:p>
      <w:pPr>
        <w:tabs>
          <w:tab w:pos="9461" w:val="right"/>
        </w:tabs>
        <w:spacing w:before="140" w:after="20"/>
      </w:pPr>
      <w:r>
        <w:rPr>
          <w:rFonts w:ascii="Calibri" w:hAnsi="Calibri"/>
          <w:b/>
          <w:color w:val="0D1B2A"/>
          <w:sz w:val="22"/>
        </w:rPr>
        <w:t>Merck Limited — Product Manager, Diabetes &amp; Thyroid</w:t>
      </w:r>
      <w:r>
        <w:tab/>
      </w:r>
      <w:r>
        <w:rPr>
          <w:rFonts w:ascii="Calibri" w:hAnsi="Calibri"/>
          <w:i/>
          <w:color w:val="6B7280"/>
          <w:sz w:val="19"/>
        </w:rPr>
        <w:t>2015 – 2017</w:t>
      </w:r>
    </w:p>
    <w:p>
      <w:pPr>
        <w:pStyle w:val="ListBullet"/>
        <w:spacing w:after="40"/>
        <w:ind w:left="317"/>
      </w:pPr>
      <w:r>
        <w:rPr>
          <w:rFonts w:ascii="Calibri" w:hAnsi="Calibri"/>
          <w:color w:val="2E3440"/>
          <w:sz w:val="21"/>
        </w:rPr>
        <w:t>Developed brand strategy based on customer insights and competitive differentiation.</w:t>
      </w:r>
    </w:p>
    <w:p>
      <w:pPr>
        <w:pStyle w:val="ListBullet"/>
        <w:spacing w:after="40"/>
        <w:ind w:left="317"/>
      </w:pPr>
      <w:r>
        <w:rPr>
          <w:rFonts w:ascii="Calibri" w:hAnsi="Calibri"/>
          <w:color w:val="2E3440"/>
          <w:sz w:val="21"/>
        </w:rPr>
        <w:t>Created a dose-optimization campaign for first-line therapy patients.</w:t>
      </w:r>
    </w:p>
    <w:p>
      <w:pPr>
        <w:tabs>
          <w:tab w:pos="9461" w:val="right"/>
        </w:tabs>
        <w:spacing w:before="140" w:after="20"/>
      </w:pPr>
      <w:r>
        <w:rPr>
          <w:rFonts w:ascii="Calibri" w:hAnsi="Calibri"/>
          <w:b/>
          <w:color w:val="0D1B2A"/>
          <w:sz w:val="22"/>
        </w:rPr>
        <w:t>GlaxoSmithKline (Thailand) Limited — Product Manager</w:t>
      </w:r>
      <w:r>
        <w:tab/>
      </w:r>
      <w:r>
        <w:rPr>
          <w:rFonts w:ascii="Calibri" w:hAnsi="Calibri"/>
          <w:i/>
          <w:color w:val="6B7280"/>
          <w:sz w:val="19"/>
        </w:rPr>
        <w:t>2014 – 2015</w:t>
      </w:r>
    </w:p>
    <w:p>
      <w:pPr>
        <w:pStyle w:val="ListBullet"/>
        <w:spacing w:after="40"/>
        <w:ind w:left="317"/>
      </w:pPr>
      <w:r>
        <w:rPr>
          <w:rFonts w:ascii="Calibri" w:hAnsi="Calibri"/>
          <w:color w:val="2E3440"/>
          <w:sz w:val="21"/>
        </w:rPr>
        <w:t>Led launch strategy for a new osteoporosis product, including a specialist engagement platform for orthopedic surgeons and endocrinologists.</w:t>
      </w:r>
    </w:p>
    <w:p>
      <w:pPr>
        <w:tabs>
          <w:tab w:pos="9461" w:val="right"/>
        </w:tabs>
        <w:spacing w:before="140" w:after="20"/>
      </w:pPr>
      <w:r>
        <w:rPr>
          <w:rFonts w:ascii="Calibri" w:hAnsi="Calibri"/>
          <w:b/>
          <w:color w:val="0D1B2A"/>
          <w:sz w:val="22"/>
        </w:rPr>
        <w:t>DKSH (Thailand) Limited (MSD Exclusive Team) — Product Manager</w:t>
      </w:r>
      <w:r>
        <w:tab/>
      </w:r>
      <w:r>
        <w:rPr>
          <w:rFonts w:ascii="Calibri" w:hAnsi="Calibri"/>
          <w:i/>
          <w:color w:val="6B7280"/>
          <w:sz w:val="19"/>
        </w:rPr>
        <w:t>2013 – 2014</w:t>
      </w:r>
    </w:p>
    <w:p>
      <w:pPr>
        <w:pStyle w:val="ListBullet"/>
        <w:spacing w:after="40"/>
        <w:ind w:left="317"/>
      </w:pPr>
      <w:r>
        <w:rPr>
          <w:rFonts w:ascii="Calibri" w:hAnsi="Calibri"/>
          <w:color w:val="2E3440"/>
          <w:sz w:val="21"/>
        </w:rPr>
        <w:t>Managed Men's Health and Dermatological portfolios across Ethical and OTC channels.</w:t>
      </w:r>
    </w:p>
    <w:p>
      <w:pPr>
        <w:pStyle w:val="ListBullet"/>
        <w:spacing w:after="40"/>
        <w:ind w:left="317"/>
      </w:pPr>
      <w:r>
        <w:rPr>
          <w:rFonts w:ascii="Calibri" w:hAnsi="Calibri"/>
          <w:color w:val="2E3440"/>
          <w:sz w:val="21"/>
        </w:rPr>
        <w:t>Built patient-awareness and treatment-practice programs for a specialist therapeutic area.</w:t>
      </w:r>
    </w:p>
    <w:p>
      <w:pPr>
        <w:tabs>
          <w:tab w:pos="9461" w:val="right"/>
        </w:tabs>
        <w:spacing w:before="140" w:after="20"/>
      </w:pPr>
      <w:r>
        <w:rPr>
          <w:rFonts w:ascii="Calibri" w:hAnsi="Calibri"/>
          <w:b/>
          <w:color w:val="0D1B2A"/>
          <w:sz w:val="22"/>
        </w:rPr>
        <w:t>GlaxoSmithKline (Thailand) Limited — Medical Representative</w:t>
      </w:r>
      <w:r>
        <w:tab/>
      </w:r>
      <w:r>
        <w:rPr>
          <w:rFonts w:ascii="Calibri" w:hAnsi="Calibri"/>
          <w:i/>
          <w:color w:val="6B7280"/>
          <w:sz w:val="19"/>
        </w:rPr>
        <w:t>2010 – 2012</w:t>
      </w:r>
    </w:p>
    <w:p>
      <w:pPr>
        <w:pStyle w:val="ListBullet"/>
        <w:spacing w:after="40"/>
        <w:ind w:left="317"/>
      </w:pPr>
      <w:r>
        <w:rPr>
          <w:rFonts w:ascii="Calibri" w:hAnsi="Calibri"/>
          <w:color w:val="2E3440"/>
          <w:sz w:val="21"/>
        </w:rPr>
        <w:t>Managed the Epilepsy portfolio; achieved market leadership with 50% market share.</w:t>
      </w:r>
    </w:p>
    <w:p>
      <w:pPr>
        <w:tabs>
          <w:tab w:pos="9461" w:val="right"/>
        </w:tabs>
        <w:spacing w:before="140" w:after="20"/>
      </w:pPr>
      <w:r>
        <w:rPr>
          <w:rFonts w:ascii="Calibri" w:hAnsi="Calibri"/>
          <w:b/>
          <w:color w:val="0D1B2A"/>
          <w:sz w:val="22"/>
        </w:rPr>
        <w:t>Sanofi-Aventis (Thailand) Ltd. — Product Specialist</w:t>
      </w:r>
      <w:r>
        <w:tab/>
      </w:r>
      <w:r>
        <w:rPr>
          <w:rFonts w:ascii="Calibri" w:hAnsi="Calibri"/>
          <w:i/>
          <w:color w:val="6B7280"/>
          <w:sz w:val="19"/>
        </w:rPr>
        <w:t>2010</w:t>
      </w:r>
    </w:p>
    <w:p>
      <w:pPr>
        <w:pStyle w:val="ListBullet"/>
        <w:spacing w:after="40"/>
        <w:ind w:left="317"/>
      </w:pPr>
      <w:r>
        <w:rPr>
          <w:rFonts w:ascii="Calibri" w:hAnsi="Calibri"/>
          <w:color w:val="2E3440"/>
          <w:sz w:val="21"/>
        </w:rPr>
        <w:t>Managed the Oncology (breast cancer) portfolio and launched a program to expand new-patient access.</w:t>
      </w:r>
    </w:p>
    <w:p>
      <w:pPr>
        <w:tabs>
          <w:tab w:pos="9461" w:val="right"/>
        </w:tabs>
        <w:spacing w:before="140" w:after="20"/>
      </w:pPr>
      <w:r>
        <w:rPr>
          <w:rFonts w:ascii="Calibri" w:hAnsi="Calibri"/>
          <w:b/>
          <w:color w:val="0D1B2A"/>
          <w:sz w:val="22"/>
        </w:rPr>
        <w:t>Pfizer (Thailand) Limited — Medical Representative</w:t>
      </w:r>
      <w:r>
        <w:tab/>
      </w:r>
      <w:r>
        <w:rPr>
          <w:rFonts w:ascii="Calibri" w:hAnsi="Calibri"/>
          <w:i/>
          <w:color w:val="6B7280"/>
          <w:sz w:val="19"/>
        </w:rPr>
        <w:t>2006 – 2009</w:t>
      </w:r>
    </w:p>
    <w:p>
      <w:pPr>
        <w:pStyle w:val="ListBullet"/>
        <w:spacing w:after="40"/>
        <w:ind w:left="317"/>
      </w:pPr>
      <w:r>
        <w:rPr>
          <w:rFonts w:ascii="Calibri" w:hAnsi="Calibri"/>
          <w:color w:val="2E3440"/>
          <w:sz w:val="21"/>
        </w:rPr>
        <w:t>Managed the Cardiovascular portfolio (lipid-lowering and antihypertensive agents); achieved market leadership with 75% share of the Statin market.</w:t>
      </w:r>
    </w:p>
    <w:p>
      <w:pPr>
        <w:spacing w:before="200" w:after="80"/>
        <w:pBdr>
          <w:bottom w:val="single" w:sz="6" w:space="4" w:color="C8A45E"/>
        </w:pBdr>
      </w:pPr>
      <w:r>
        <w:rPr>
          <w:rFonts w:ascii="Georgia" w:hAnsi="Georgia"/>
          <w:b/>
          <w:color w:val="0D1B2A"/>
          <w:sz w:val="26"/>
        </w:rPr>
        <w:t>EDUCATION</w:t>
      </w:r>
    </w:p>
    <w:p>
      <w:pPr>
        <w:spacing w:after="20"/>
      </w:pPr>
      <w:r>
        <w:rPr>
          <w:rFonts w:ascii="Calibri" w:hAnsi="Calibri"/>
          <w:b/>
          <w:color w:val="0D1B2A"/>
          <w:sz w:val="21"/>
        </w:rPr>
        <w:t>Bachelor of Pharmacy, Srinakharinwirot University</w:t>
      </w:r>
    </w:p>
    <w:p>
      <w:pPr>
        <w:spacing w:after="120"/>
      </w:pPr>
      <w:r>
        <w:rPr>
          <w:rFonts w:ascii="Calibri" w:hAnsi="Calibri"/>
          <w:i/>
          <w:color w:val="6B7280"/>
          <w:sz w:val="19"/>
        </w:rPr>
        <w:t>2001 – 2006 · Major: Social &amp; Clinical Pharmaceutical · GPA 3.51, 2nd Class Honors</w:t>
      </w:r>
    </w:p>
    <w:p>
      <w:pPr>
        <w:spacing w:before="200" w:after="80"/>
        <w:pBdr>
          <w:bottom w:val="single" w:sz="6" w:space="4" w:color="C8A45E"/>
        </w:pBdr>
      </w:pPr>
      <w:r>
        <w:rPr>
          <w:rFonts w:ascii="Georgia" w:hAnsi="Georgia"/>
          <w:b/>
          <w:color w:val="0D1B2A"/>
          <w:sz w:val="26"/>
        </w:rPr>
        <w:t>CERTIFICATIONS &amp; AWARDS</w:t>
      </w:r>
    </w:p>
    <w:p>
      <w:pPr>
        <w:pStyle w:val="ListBullet"/>
        <w:spacing w:after="40"/>
        <w:ind w:left="317"/>
      </w:pPr>
      <w:r>
        <w:rPr>
          <w:rFonts w:ascii="Calibri" w:hAnsi="Calibri"/>
          <w:color w:val="2E3440"/>
          <w:sz w:val="21"/>
        </w:rPr>
        <w:t>Micro MBA, Chulalongkorn University — 2016</w:t>
      </w:r>
    </w:p>
    <w:p>
      <w:pPr>
        <w:pStyle w:val="ListBullet"/>
        <w:spacing w:after="40"/>
        <w:ind w:left="317"/>
      </w:pPr>
      <w:r>
        <w:rPr>
          <w:rFonts w:ascii="Calibri" w:hAnsi="Calibri"/>
          <w:color w:val="2E3440"/>
          <w:sz w:val="21"/>
        </w:rPr>
        <w:t>Digital Marketing Certificate Program, Thammasat University — 2017</w:t>
      </w:r>
    </w:p>
    <w:p>
      <w:pPr>
        <w:pStyle w:val="ListBullet"/>
        <w:spacing w:after="40"/>
        <w:ind w:left="317"/>
      </w:pPr>
      <w:r>
        <w:rPr>
          <w:rFonts w:ascii="Calibri" w:hAnsi="Calibri"/>
          <w:color w:val="2E3440"/>
          <w:sz w:val="21"/>
        </w:rPr>
        <w:t>Digital Strategies Course, Columbia Business School, NY, USA — 2019</w:t>
      </w:r>
    </w:p>
    <w:p>
      <w:pPr>
        <w:pStyle w:val="ListBullet"/>
        <w:spacing w:after="40"/>
        <w:ind w:left="317"/>
      </w:pPr>
      <w:r>
        <w:rPr>
          <w:rFonts w:ascii="Calibri" w:hAnsi="Calibri"/>
          <w:color w:val="2E3440"/>
          <w:sz w:val="21"/>
        </w:rPr>
        <w:t>Top Sales Performance Award — 2012</w:t>
      </w:r>
    </w:p>
    <w:p>
      <w:pPr>
        <w:pStyle w:val="ListBullet"/>
        <w:spacing w:after="40"/>
        <w:ind w:left="317"/>
      </w:pPr>
      <w:r>
        <w:rPr>
          <w:rFonts w:ascii="Calibri" w:hAnsi="Calibri"/>
          <w:color w:val="2E3440"/>
          <w:sz w:val="21"/>
        </w:rPr>
        <w:t>Digital Innovation Award — 2020</w:t>
      </w:r>
    </w:p>
    <w:p>
      <w:pPr>
        <w:pStyle w:val="ListBullet"/>
        <w:spacing w:after="40"/>
        <w:ind w:left="317"/>
      </w:pPr>
      <w:r>
        <w:rPr>
          <w:rFonts w:ascii="Calibri" w:hAnsi="Calibri"/>
          <w:color w:val="2E3440"/>
          <w:sz w:val="21"/>
        </w:rPr>
        <w:t>Top Performance Award — 2023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648" w:right="1224" w:bottom="1008" w:left="1224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40"/>
      <w:jc w:val="center"/>
    </w:pPr>
    <w:r>
      <w:rPr>
        <w:rFonts w:ascii="Calibri" w:hAnsi="Calibri"/>
        <w:color w:val="6B7280"/>
        <w:sz w:val="15"/>
      </w:rPr>
      <w:t>HLS Bridge Advisory Co., Ltd. · No. 555, Rasa One, Building A, 2nd Floor, Phaholyothin Road, Chatuchak Sub-District, Chatuchak District, Bangkok, 10900</w:t>
    </w:r>
  </w:p>
  <w:p>
    <w:pPr>
      <w:spacing w:before="0"/>
      <w:jc w:val="center"/>
    </w:pPr>
    <w:r>
      <w:rPr>
        <w:rFonts w:ascii="Calibri" w:hAnsi="Calibri"/>
        <w:color w:val="6B7280"/>
        <w:sz w:val="16"/>
      </w:rPr>
      <w:t>Confidential</w:t>
    </w:r>
    <w:r>
      <w:rPr>
        <w:rFonts w:ascii="Calibri" w:hAnsi="Calibri"/>
        <w:color w:val="6B7280"/>
        <w:sz w:val="16"/>
      </w:rPr>
      <w:t xml:space="preserve">  ·  </w:t>
    </w:r>
    <w:r>
      <w:rPr>
        <w:rFonts w:ascii="Calibri" w:hAnsi="Calibri"/>
        <w:color w:val="6B7280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drawing>
        <wp:inline xmlns:a="http://schemas.openxmlformats.org/drawingml/2006/main" xmlns:pic="http://schemas.openxmlformats.org/drawingml/2006/picture">
          <wp:extent cx="1554480" cy="63079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LSBridgeAdvisory_Logo-NoTagline-Navy_transparen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63079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Calibri" w:hAnsi="Calibri" w:eastAsia="Calibri"/>
      <w:color w:val="2E344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