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t>スクリーニング採択者でないため該当なし</w:t>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QUBO/焼きなまし（4.1節で貪欲に8/8勝・厳密最適一致）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4.1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本体は単一鍵TFHE中心（Zamaは閾値系を別途公表）</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同一のQUBO枠組みで扱える。ただし救命数を目的とする多臓器割当は分離可能で量子最適化は不要であり（4.2節）、量子有用性は交換cycle-cover（4.1節）に現れる。本QUBO定式化は交換最適化と適合スコア計算の共通枠組みとして用い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+2.7</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+3.7</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差は規模とともに単調拡大（移植数で+1.6〜+3.7、規模拡大でも消失しない）し、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21µs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4.1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量子アニーリング実機での検証（今後の課題）</w:t>
      </w:r>
      <w:r>
        <w:rPr>
          <w:rFonts w:ascii="ＭＳ Ｐゴシック" w:hAnsi="ＭＳ Ｐゴシック" w:eastAsia="ＭＳ Ｐゴシック"/>
          <w:b w:val="0"/>
          <w:sz w:val="22"/>
        </w:rPr>
        <w:t xml:space="preserve">: 現在のQUBOソルバーは焼きなまし法による古典シミュレーションであり、問題構造の有用性（貪欲に対する優位・厳密最適一致）は本検証で既に示している。D-Wave等の実機での求解時間・解品質の比較は今後の課題とする（現状のアニーラは規模・ノイズに制約があり、古典SAに対する速度優位は前提にしない）。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量子アニーリング実機での求解時間・解品質の比較が可能になる（現状のアニーラは規模・ノイズ制約があり、古典SAに対する速度優位は前提にしない。実機検証は今後の課題）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より大規模なマッチング問題（N≥10,000）へは、列生成等の古典手法と量子アニーリングの併用で拡張を図る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直接マッチングが成立しない不適合ペアの交換（2-/3-way）は、頂点素な最大重みサイクル被覆＝NP困難・APX困難な集合パッキングであり、貪欲は構造的に劣る。4.1節のベンチマークにおいてQUBOは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し、その差は規模とともに拡大した（N=8で+1.6、N=30で+3.7移植、規模とともに拡大）。N≥45では候補サイクルが爆発し厳密解が破綻する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医療データ共有の根本的障壁であるプライバシー問題を、暗号の計算層・保護層の分離で解消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鍵は層ごとに保有者を分ける。</w:t>
      </w:r>
      <w:r>
        <w:rPr>
          <w:rFonts w:ascii="ＭＳ Ｐゴシック" w:hAnsi="ＭＳ Ｐゴシック" w:eastAsia="ＭＳ Ｐゴシック"/>
          <w:b/>
          <w:sz w:val="22"/>
        </w:rPr>
        <w:t>身元情報（保護層・hyde/ML-KEM-768）の復号鍵は個人がTPM内に保持</w:t>
      </w:r>
      <w:r>
        <w:rPr>
          <w:rFonts w:ascii="ＭＳ Ｐゴシック" w:hAnsi="ＭＳ Ｐゴシック" w:eastAsia="ＭＳ Ｐゴシック"/>
          <w:b w:val="0"/>
          <w:sz w:val="22"/>
        </w:rPr>
        <w:t>し、病院・国家・閾値機関のいずれも単独では身元情報に到達できない ― ここに個人のデータ主権の根拠がある。</w:t>
      </w:r>
      <w:r>
        <w:rPr>
          <w:rFonts w:ascii="ＭＳ Ｐゴシック" w:hAnsi="ＭＳ Ｐゴシック" w:eastAsia="ＭＳ Ｐゴシック"/>
          <w:b/>
          <w:sz w:val="22"/>
        </w:rPr>
        <w:t>計算（計算層・plat/Threshold FHE）の鍵はt-of-n閾値機関に分散</w:t>
      </w:r>
      <w:r>
        <w:rPr>
          <w:rFonts w:ascii="ＭＳ Ｐゴシック" w:hAnsi="ＭＳ Ｐゴシック" w:eastAsia="ＭＳ Ｐゴシック"/>
          <w:b w:val="0"/>
          <w:sz w:val="22"/>
        </w:rPr>
        <w:t>し、単一機関への集中を排除することで、単一機関の裏切りでも計算層が破られない国際的なデータ共有を可能にした（閾値機関がt-of-nで協調して復号しうるのは計算層の匿名スコアのみであり、身元情報には到達しない。3.2節）。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鍵管理主権を層ごとに分けたまま国際協力を実現する</w:t>
      </w:r>
      <w:r>
        <w:rPr>
          <w:rFonts w:ascii="ＭＳ Ｐゴシック" w:hAnsi="ＭＳ Ｐゴシック" w:eastAsia="ＭＳ Ｐゴシック"/>
          <w:b w:val="0"/>
          <w:sz w:val="22"/>
        </w:rPr>
        <w:t>（身元情報の鍵は個人がTPM保持、計算層の鍵はt-of-n閾値機関に分散＝単一機関への集中を排除）</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計算層・保護層の分離により「個人は保護層の鍵を手放さず、データを暗号化したまま横断計算する」構造が汎用化される：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各参加者は身元情報を自らの保護層の鍵（hyde/TPM）で守ったまま計算に参加でき、これらの領域における参入障壁を暗号学的に下げる。身元情報の主権は常に個人（保護層の鍵を保持）にあり、計算層の鍵はt-of-n閾値機関に分散する― 機関・企業・国家のいずれも単独では身元情報に到達できない。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4.1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本システムの主要構成要素 — NIST標準化済みPQC（hyde）、FHE（plat crate：本番はThreshold FHE、加えてMKFHE bootstrappingを実証）、GPU加速（CUDA 14x実測済み）、QUBO焼きなまし法 —はいずれも今日存在する技術で動作し、将来の量子コンピュータを前提としない。残る課題は技術の不在ではなく、各層の本番統合（Threshold FHEの閾値復号プロトコル、ZKP本格回路、TEE認証フロー、E2E暗号化境界）と、その上での実社会への実装である（5.2節）。</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w:t>
      </w:r>
    </w:p>
    <w:p>
      <w:pPr>
        <w:spacing w:line="300" w:lineRule="exact" w:after="80" w:before="0"/>
      </w:pPr>
      <w:r>
        <w:rPr>
          <w:rFonts w:ascii="ＭＳ Ｐゴシック" w:hAnsi="ＭＳ Ｐゴシック" w:eastAsia="ＭＳ Ｐゴシック"/>
          <w:b w:val="0"/>
          <w:sz w:val="22"/>
        </w:rPr>
        <w:t>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pPr>
        <w:spacing w:line="300" w:lineRule="exact" w:after="80" w:before="0"/>
      </w:pPr>
      <w:r>
        <w:rPr>
          <w:rFonts w:ascii="ＭＳ Ｐゴシック" w:hAnsi="ＭＳ Ｐゴシック" w:eastAsia="ＭＳ Ｐゴシック"/>
          <w:b/>
          <w:sz w:val="26"/>
        </w:rPr>
        <w:t>参考文献</w:t>
      </w:r>
    </w:p>
    <w:p>
      <w:pPr>
        <w:spacing w:line="300" w:lineRule="exact" w:after="80" w:before="0"/>
      </w:pPr>
      <w:r>
        <w:rPr>
          <w:rFonts w:ascii="ＭＳ Ｐゴシック" w:hAnsi="ＭＳ Ｐゴシック" w:eastAsia="ＭＳ Ｐゴシック"/>
          <w:b w:val="0"/>
          <w:sz w:val="22"/>
        </w:rPr>
        <w:t>本報告書が引用した主要文献を、審査委員が確認可能な形式で以下に示す（本文中では著者・年で参照）。</w:t>
      </w:r>
    </w:p>
    <w:p>
      <w:pPr>
        <w:spacing w:line="300" w:lineRule="exact" w:after="80" w:before="0"/>
      </w:pPr>
      <w:r>
        <w:rPr>
          <w:rFonts w:ascii="ＭＳ Ｐゴシック" w:hAnsi="ＭＳ Ｐゴシック" w:eastAsia="ＭＳ Ｐゴシック"/>
          <w:b/>
          <w:sz w:val="22"/>
        </w:rPr>
        <w:t>臓器移植・交換マッチング最適化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Quarterly Journal of Economics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Blum, Sandholm (2007): Clearing Algorithms for Barter Exchange Markets. ACM EC'07.</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 PNAS.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(2021). PNAS 118(36): e2106652118.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Karp (1972): Reducibility Among Combinatorial Problems.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プライバシー保護臓器交換・量子最適化（先行研究）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ACM WPES'20.</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et al. (2022): SPIKE: Secure and Private Investigation of the Kidney Exchange Problem. BMC Medical Informatics and Decision Making.</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Journal of Computer Security.</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Quantum Computation for Optimization in Exchange Systems. US Patent 20200175413.</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w:t>
      </w:r>
    </w:p>
    <w:p>
      <w:pPr>
        <w:spacing w:line="300" w:lineRule="exact" w:after="80" w:before="0"/>
      </w:pPr>
      <w:r>
        <w:rPr>
          <w:rFonts w:ascii="ＭＳ Ｐゴシック" w:hAnsi="ＭＳ Ｐゴシック" w:eastAsia="ＭＳ Ｐゴシック"/>
          <w:b/>
          <w:sz w:val="22"/>
        </w:rPr>
        <w:t>暗号技術（FHE / MKFHE / PQC / 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FHE. STOC 2012.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 over the Torus.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NIST (2024): FIPS 203, Module-Lattice-Based Key-Encapsulation Mechanism (ML-KEM).</w:t>
      </w:r>
    </w:p>
    <w:p>
      <w:pPr>
        <w:spacing w:line="300" w:lineRule="exact" w:after="80" w:before="0"/>
      </w:pPr>
      <w:r>
        <w:rPr>
          <w:rFonts w:ascii="ＭＳ Ｐゴシック" w:hAnsi="ＭＳ Ｐゴシック" w:eastAsia="ＭＳ Ｐゴシック"/>
          <w:b/>
          <w:sz w:val="22"/>
        </w:rPr>
        <w:t>課題背景データ・法制度</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OPTN/SRTR (2023): Annual Data Report (Liver / Heart / Pancreas).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AOPO (2025): 臓器回収・移植に関する報告.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Aubert et al. (2019): JAMA Internal Medicine（米国で廃棄された腎臓へのフランス受入基準適用に関する研究）.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欧州司法裁判所: SRB v EDPS 判決 (C-413/23 P, 2025).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GDPR Recital 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日本臓器移植ネットワーク (JOTN) / 厚生労働省 (2024): 国内移植統計.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Ide et al. (2025): American Journal of Transplantation（臓器配分における構造的非効率に関する研究）.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Shiroiwa et al.: QALY当たり支払意思額（約500万円/QALY）に関する研究.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Egawa et al.: 移植による獲得質調整生存年（約10 QALY）に関する文献.</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