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244"/>
      </w:tblGrid>
      <w:tr>
        <w:tc>
          <w:tcPr>
            <w:tcW w:w="8458" w:type="dxa"/>
          </w:tcPr>
          <w:p>
            <w:pPr>
              <w:pStyle w:val="a7"/>
              <w:ind w:leftChars="0" w:left="0" w:firstLineChars="100" w:firstLine="210"/>
              <w:rPr>
                <w:szCs w:val="21"/>
              </w:rPr>
            </w:pPr>
            <w:r>
              <w:rPr>
                <w:rFonts w:hint="eastAsia"/>
              </w:rPr>
              <w:t xml:space="preserve">⑦　常に整理整頓に努め、通路、避難口又は消火設備のある所に物品を置かないこと。</w:t>
            </w:r>
          </w:p>
        </w:tc>
      </w:tr>
    </w:tbl>
    <w:sectPr>
      <w:pgSz w:w="11906" w:h="16838"/>
      <w:pgMar w:top="1985" w:right="1701" w:bottom="1701" w:left="1701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a7">
    <w:name w:val="List Paragraph"/>
    <w:basedOn w:val="a"/>
    <w:pPr>
      <w:ind w:leftChars="400" w:left="840"/>
    </w:p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