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tbl>
      <w:tblPr>
        <w:tblW w:w="1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400"/>
      </w:tblGrid>
      <w:tr>
        <w:tc>
          <w:tcPr>
            <w:tcW w:w="1400" w:type="dxa"/>
            <w:vMerge w:val="restart"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>組織的管理措置の見直し改</w:t>
            </w:r>
          </w:p>
        </w:tc>
      </w:tr>
      <w:tr>
        <w:tc>
          <w:tcPr>
            <w:tcW w:w="1400" w:type="dxa"/>
            <w:vMerge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1400" w:type="dxa"/>
            <w:vMerge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1400" w:type="dxa"/>
            <w:vMerge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</w:tbl>
    <w:sectPr>
      <w:pgSz w:w="11906" w:h="16838"/>
      <w:pgMar w:top="1440" w:right="1440" w:bottom="1440" w:left="1440" w:header="851" w:footer="992" w:gutter="0"/>
      <w:docGrid w:type="linesAndChars" w:linePitch="350" w:charSpace="-2714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
</file>