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>
        <w:tblW w:w="2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500"/>
      </w:tblGrid>
      <w:tr>
        <w:tc>
          <w:tcPr>
            <w:tcW w:w="2500" w:type="dxa"/>
            <w:vMerge w:val="restart"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>組織的管理措置の</w:t>
            </w:r>
          </w:p>
        </w:tc>
      </w:tr>
      <w:tr>
        <w:tc>
          <w:tcPr>
            <w:tcW w:w="2500" w:type="dxa"/>
            <w:vMerge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2500" w:type="dxa"/>
            <w:vMerge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2500" w:type="dxa"/>
            <w:vMerge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</w:tbl>
    <w:sectPr>
      <w:pgSz w:w="11906" w:h="16838"/>
      <w:pgMar w:top="1440" w:right="1440" w:bottom="1440" w:left="1440" w:header="851" w:footer="992" w:gutter="0"/>
      <w:docGrid w:type="linesAndChars" w:linePitch="350" w:charSpace="-2714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
</file>