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p>
      <w:pPr>
        <w:jc w:val="both"/>
        <w:rPr>
          <w:rFonts w:ascii="メイリオ" w:eastAsia="メイリオ" w:hAnsi="メイリオ" w:hint="eastAsia"/>
          <w:sz w:val="21"/>
        </w:rPr>
      </w:pPr>
      <w:r>
        <w:rPr>
          <w:rFonts w:ascii="メイリオ" w:eastAsia="メイリオ" w:hAnsi="メイリオ" w:hint="eastAsia"/>
          <w:sz w:val="21"/>
        </w:rPr>
        <w:t>あいうえおかきくけこさしすせそたちつてとなにぬねのはひふへほまみむめもやゆよらりるれ</w:t>
      </w:r>
    </w:p>
    <w:sectPr>
      <w:pgSz w:w="11906" w:h="16838"/>
      <w:pgMar w:top="1985" w:right="1701" w:bottom="1701" w:left="1701" w:header="720" w:footer="720" w:gutter="0"/>
      <w:cols w:space="425"/>
      <w:docGrid w:linePitch="286"/>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