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rPr/>
        <w:tc>
          <w:tcPr>
            <w:tcW w:w="9000" w:type="dxa"/>
          </w:tcPr>
          <w:p>
            <w:pPr/>
            <w:r>
              <w:rPr>
                <w:sz w:val="21"/>
              </w:rPr>
              <w:t>R1 content</w:t>
            </w:r>
          </w:p>
        </w:tc>
      </w:tr>
      <w:tr>
        <w:trPr/>
        <w:tc>
          <w:tcPr>
            <w:tcW w:w="9000" w:type="dxa"/>
          </w:tcPr>
          <w:p>
            <w:pPr/>
            <w:r>
              <w:rPr>
                <w:sz w:val="21"/>
              </w:rPr>
              <w:t>R-ref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3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