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A1</w:t>
      </w:r>
    </w:p>
    <w:p>
      <w:pPr>
        <w:ind w:left="241" w:hangingChars="100" w:hanging="241"/>
        <w:rPr>
          <w:rFonts w:ascii="ＭＳ ゴシック" w:eastAsia="ＭＳ ゴシック" w:hAnsi="ＭＳ ゴシック" w:cs="ＭＳ Ｐゴシック"/>
          <w:kern w:val="0"/>
          <w:szCs w:val="21"/>
        </w:rPr>
      </w:pPr>
      <w:r>
        <w:rPr>
          <w:rFonts w:ascii="ＭＳ ゴシック" w:eastAsia="ＭＳ ゴシック" w:hAnsi="ＭＳ ゴシック" w:cs="ＭＳ Ｐゴシック"/>
          <w:kern w:val="0"/>
          <w:szCs w:val="21"/>
        </w:rPr>
        <w:t>２ 患者発生時の患者、濃厚接触者への対応</w:t>
      </w:r>
    </w:p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A2</w:t>
      </w:r>
    </w:p>
    <w:sectPr>
      <w:pgSz w:w="11906" w:h="16838"/>
      <w:pgMar w:top="851" w:right="851" w:bottom="851" w:left="851" w:header="851" w:footer="992" w:gutter="0"/>
      <w:docGrid w:type="lines" w:linePitch="32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</a:majorFont>
      <a:minorFont>
        <a:latin typeface="Century"/>
        <a:ea typeface=""/>
        <a:cs typeface=""/>
        <a:font script="Jpan" typeface="ＭＳ 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