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ＭＳ 明朝" w:eastAsia="ＭＳ 明朝" w:hAnsi="ＭＳ 明朝" w:hint="eastAsia"/>
          <w:kern w:val="0"/>
          <w:sz w:val="24"/>
        </w:rPr>
      </w:pPr>
      <w:r>
        <w:rPr>
          <w:rFonts w:ascii="ＭＳ 明朝" w:eastAsia="ＭＳ 明朝" w:hAnsi="ＭＳ 明朝" w:hint="eastAsia"/>
          <w:kern w:val="0"/>
          <w:sz w:val="24"/>
        </w:rPr>
        <w:t>あいうえおかきくけこさしすせそたちつてとなにぬねのはひふへほまみむめもあいうえおか</w:t>
      </w:r>
    </w:p>
    <w:sectPr>
      <w:pgSz w:w="16838" w:h="11906" w:orient="landscape"/>
      <w:pgMar w:top="1701" w:right="1985" w:bottom="1701" w:left="1701" w:header="851" w:footer="992" w:gutter="0"/>
      <w:cols w:space="425"/>
      <w:textDirection w:val="tbRl"/>
      <w:docGrid w:type="lines" w:linePitch="360"/>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