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rFonts w:ascii="ＭＳ Ｐ明朝" w:eastAsia="ＭＳ Ｐ明朝" w:hAnsi="ＭＳ Ｐ明朝" w:hint="eastAsia"/>
          <w:kern w:val="0"/>
          <w:sz w:val="22"/>
        </w:rPr>
      </w:pPr>
      <w:r>
        <w:rPr>
          <w:rFonts w:ascii="ＭＳ Ｐ明朝" w:eastAsia="ＭＳ Ｐ明朝" w:hAnsi="ＭＳ Ｐ明朝" w:hint="eastAsia"/>
          <w:kern w:val="0"/>
          <w:sz w:val="22"/>
        </w:rPr>
        <w:t>あいうえおかきくけこさしすせそたちつてとなにぬねのはひふへほまみむめもやゆよらりる。あいうえおか</w:t>
      </w:r>
    </w:p>
    <w:sectPr>
      <w:pgSz w:w="16838" w:h="11906" w:orient="landscape"/>
      <w:pgMar w:top="1701" w:right="1985" w:bottom="1701" w:left="1701" w:header="851" w:footer="992" w:gutter="0"/>
      <w:cols w:space="425"/>
      <w:textDirection w:val="tbRl"/>
      <w:docGrid w:type="lines" w:linePitch="360"/>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