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Ｐ明朝" w:eastAsia="ＭＳ Ｐ明朝" w:hAnsi="ＭＳ Ｐ明朝" w:hint="eastAsia"/>
          <w:kern w:val="0"/>
          <w:sz w:val="24"/>
        </w:rPr>
      </w:pPr>
      <w:r>
        <w:rPr>
          <w:rFonts w:ascii="ＭＳ Ｐ明朝" w:eastAsia="ＭＳ Ｐ明朝" w:hAnsi="ＭＳ Ｐ明朝" w:hint="eastAsia"/>
          <w:kern w:val="0"/>
          <w:sz w:val="24"/>
        </w:rPr>
        <w:t>ふと、トンネルの奥から踏切でカンカン鳴る音が聞こえた。</w:t>
      </w:r>
    </w:p>
    <w:sectPr>
      <w:pgSz w:w="16838" w:h="11906" w:orient="landscape"/>
      <w:pgMar w:top="1701" w:right="1985" w:bottom="1701" w:left="1701" w:header="851" w:footer="992" w:gutter="0"/>
      <w:cols w:space="425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