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See footnote</w:t>
      </w:r>
      <w:r>
        <w:rPr>
          <w:rStyle w:val="FootnoteReference"/>
        </w:rPr>
        <w:footnoteReference w:id="1"/>
      </w:r>
      <w:r>
        <w:t xml:space="preserve"> and endnote</w:t>
      </w:r>
      <w:r>
        <w:rPr>
          <w:rStyle w:val="EndnoteReference"/>
        </w:rPr>
        <w:endnoteReference w:id="1"/>
      </w:r>
      <w:r>
        <w:t xml:space="preserve">.</w:t>
      </w:r>
    </w:p>
    <w:sectPr>
      <w:pgSz w:w="11906" w:h="16838"/>
      <w:pgMar w:top="1440" w:right="1440" w:bottom="1440" w:left="1440" w:header="851" w:footer="992" w:gutter="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The endnote.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The footnote.</w:t>
      </w:r>
    </w:p>
  </w:footnote>
</w:footnote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Fn" Type="http://schemas.openxmlformats.org/officeDocument/2006/relationships/footnotes" Target="footnotes.xml"/>
<Relationship Id="rIdEn" Type="http://schemas.openxmlformats.org/officeDocument/2006/relationships/endnotes" Target="endnotes.xml"/>
</Relationships>
</file>