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First marker</w:t>
      </w:r>
      <w:r>
        <w:rPr>
          <w:rStyle w:val="FootnoteReference"/>
        </w:rPr>
        <w:footnoteReference w:id="2"/>
      </w:r>
      <w:r>
        <w:t xml:space="preserve"> then second marker</w:t>
      </w:r>
      <w:r>
        <w:rPr>
          <w:rStyle w:val="FootnoteReference"/>
        </w:rPr>
        <w:footnoteReference w:id="5"/>
      </w:r>
      <w:r>
        <w:t xml:space="preserve">.</w:t>
      </w:r>
    </w:p>
    <w:sectPr>
      <w:pgSz w:w="11906" w:h="16838"/>
      <w:pgMar w:top="1440" w:right="1440" w:bottom="1440" w:left="1440" w:header="851" w:footer="992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Note A (raw id=2).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Note B (raw id=5).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Fn" Type="http://schemas.openxmlformats.org/officeDocument/2006/relationships/footnotes" Target="footnotes.xml"/>
</Relationships>
</file>