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2500" w:type="dxa"/>
        <w:tblLayout w:type="fixed"/>
        <w:tblCellMar>
          <w:left w:w="12" w:type="dxa"/>
          <w:right w:w="12" w:type="dxa"/>
        </w:tblCellMar>
      </w:tblPr>
      <w:tblGrid>
        <w:gridCol w:w="2500"/>
      </w:tblGrid>
      <w:tr>
        <w:tc>
          <w:tcPr>
            <w:tcW w:w="2500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4"/>
                <w:szCs w:val="24"/>
                <w:spacing w:val="-9"/>
                <w:kern w:val="0"/>
              </w:rPr>
              <w:t>１．２．３．提供を受けた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