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>
        <w:rPr>
          <w:rFonts w:ascii="Times New Roman" w:eastAsia="ＭＳ Ｐゴシック" w:hAnsi="Times New Roman"/>
          <w:bCs/>
          <w:u w:val="single"/>
        </w:rPr>
        <w:t xml:space="preserve">Source: Agency D website (URL of the relevant page) PDL1.0 (The License Original page URL)</w:t>
      </w:r>
    </w:p>
    <w:sectPr>
      <w:pgSz w:w="11906" w:h="16838"/>
      <w:pgMar w:top="1418" w:right="1418" w:bottom="1418" w:left="1418" w:header="851" w:footer="992" w:gutter="0"/>
      <w:cols w:space="425"/>
      <w:docGrid w:type="linesAndChar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Ｐゴシック" w:eastAsia="ＭＳ Ｐゴシック" w:hAnsi="ＭＳ Ｐゴシック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