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000"/>
      </w:tblGrid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行0組織的管理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行1組織的管理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行2組織的管理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行3組織的管理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行4組織的管理</w:t>
            </w:r>
          </w:p>
        </w:tc>
      </w:tr>
      <w:tr>
        <w:trPr>
          <w:trHeight w:val="405"/>
        </w:trPr>
        <w:tc>
          <w:tcPr>
            <w:tcW w:w="4000" w:type="dxa"/>
          </w:tcPr>
          <w:p>
            <w:pPr>
              <w:rPr>
                <w:rFonts w:eastAsia="ＭＳ 明朝"/>
                <w:sz w:val="21"/>
              </w:rPr>
            </w:pPr>
            <w:r>
              <w:rPr>
                <w:rFonts w:eastAsia="ＭＳ 明朝"/>
                <w:sz w:val="21"/>
              </w:rPr>
              <w:t>行5組織的管理</w:t>
            </w:r>
          </w:p>
        </w:tc>
      </w:tr>
    </w:tbl>
    <w:p/>
    <w:sectPr>
      <w:pgSz w:w="11906" w:h="16838"/>
      <w:pgMar w:top="1418" w:right="1418" w:bottom="1418" w:left="1418"/>
    </w:sectPr>
  </w:body>
</w:document>
</file>