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Bullet one regular reviews</w:t>
      </w:r>
    </w:p>
    <w:p>
      <w:pPr>
        <w:pStyle w:val="ListBullet"/>
      </w:pPr>
      <w:r>
        <w:t>Bullet two this policy effective</w:t>
      </w:r>
    </w:p>
    <w:p>
      <w:pPr>
        <w:pStyle w:val="ListNumber"/>
      </w:pPr>
      <w:r>
        <w:t>Number one please do not</w:t>
      </w:r>
    </w:p>
    <w:p>
      <w:pPr>
        <w:pStyle w:val="ListNumber"/>
      </w:pPr>
      <w:r>
        <w:t>Number two please review</w:t>
      </w:r>
    </w:p>
    <w:p>
      <w:pPr>
        <w:pStyle w:val="ListBullet"/>
      </w:pPr>
      <w:r>
        <w:t>Bullet three please contact</w:t>
      </w:r>
    </w:p>
    <w:p>
      <w:pPr>
        <w:pStyle w:val="Heading2"/>
      </w:pPr>
      <w:r>
        <w:t>Purpose</w:t>
      </w:r>
    </w:p>
    <w:p>
      <w:pPr/>
      <w:r>
        <w:t>We are pleased to present</w:t>
      </w:r>
    </w:p>
    <w:p>
      <w:pPr/>
      <w:r>
        <w:t>Based on our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20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