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rPr>
          <w:rFonts w:ascii="Arial" w:eastAsia="ＭＳ 明朝" w:hAnsi="Arial"/>
          <w:kern w:val="2"/>
          <w:sz w:val="21"/>
        </w:rPr>
      </w:pPr>
      <w:r>
        <w:rPr>
          <w:rFonts w:ascii="Arial" w:eastAsia="ＭＳ 明朝" w:hAnsi="Arial"/>
          <w:kern w:val="2"/>
          <w:sz w:val="21"/>
        </w:rPr>
        <w:t>患者は薬物と薬物相互作用がラベル表示された二、つの薬剤を服用した後横紋筋融解症を発現した。</w:t>
      </w:r>
    </w:p>
    <w:sectPr>
      <w:pgSz w:w="11906" w:h="16838"/>
      <w:pgMar w:top="1134" w:right="4713" w:bottom="1134" w:left="471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