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F36</w:t>
      </w:r>
    </w:p>
    <w:p>
      <w:r>
        <w:t>F37</w:t>
      </w:r>
    </w:p>
    <w:p>
      <w:r>
        <w:t>F38</w:t>
      </w:r>
    </w:p>
    <w:p>
      <w:r>
        <w:t>実際の文書では、ある段落がページの最後に到達し、次のページに継続することがあります。Word の動作はウィドウ・オーファン制御の有無によって変わる可能性があります。この最小再現テストでは、その境界における振る舞いを正確に測定します。</w:t>
      </w:r>
    </w:p>
    <w:sectPr>
      <w:pgSz w:w="11906" w:h="16838"/>
      <w:pgMar w:top="1440" w:right="1080" w:bottom="1440" w:left="1080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/>
        <w:sz w:val="21"/>
      </w:rPr>
    </w:rPrDefault>
  </w:docDefaults>
  <w:style w:type="paragraph" w:default="1" w:styleId="a">
    <w:name w:val="Normal"/>
    <w:pPr>
      <w:widowControl w:val="1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