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V12r1 line 1</w:t>
            </w:r>
          </w:p>
          <w:p>
            <w:pPr/>
            <w:r>
              <w:rPr>
                <w:sz w:val="20"/>
              </w:rPr>
              <w:t>V12r1 line 2</w:t>
            </w:r>
          </w:p>
          <w:p>
            <w:pPr/>
            <w:r>
              <w:rPr>
                <w:sz w:val="20"/>
              </w:rPr>
              <w:t>V12r1 line 3</w:t>
            </w:r>
          </w:p>
        </w:tc>
      </w:tr>
      <w:tr>
        <w:tc>
          <w:tcPr>
            <w:tcW w:w="9000" w:type="dxa"/>
          </w:tcPr>
          <w:p>
            <w:pPr/>
            <w:r>
              <w:rPr>
                <w:sz w:val="20"/>
              </w:rPr>
              <w:t>V12r2 line 1</w:t>
            </w:r>
          </w:p>
          <w:p>
            <w:pPr/>
            <w:r>
              <w:rPr>
                <w:sz w:val="20"/>
              </w:rPr>
              <w:t>V12r2 line 2</w:t>
            </w:r>
          </w:p>
          <w:p>
            <w:pPr/>
            <w:r>
              <w:rPr>
                <w:sz w:val="20"/>
              </w:rPr>
              <w:t>V12r2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