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b5f706_V3_gothic10 line 1</w:t>
            </w:r>
          </w:p>
          <w:p>
            <w:pPr/>
            <w:r>
              <w:rPr>
                <w:sz w:val="20"/>
              </w:rPr>
              <w:t>b5f706_V3_gothic10 line 2</w:t>
            </w:r>
          </w:p>
          <w:p>
            <w:pPr/>
            <w:r>
              <w:rPr>
                <w:sz w:val="20"/>
              </w:rPr>
              <w:t>b5f706_V3_gothic10 line 3</w:t>
            </w:r>
          </w:p>
          <w:p>
            <w:pPr/>
            <w:r>
              <w:rPr>
                <w:sz w:val="20"/>
              </w:rPr>
              <w:t>b5f706_V3_gothic10 line 4</w:t>
            </w:r>
          </w:p>
          <w:p>
            <w:pPr/>
            <w:r>
              <w:rPr>
                <w:sz w:val="20"/>
              </w:rPr>
              <w:t>b5f706_V3_gothic10 line 5</w:t>
            </w:r>
          </w:p>
          <w:p>
            <w:pPr/>
            <w:r>
              <w:rPr>
                <w:sz w:val="20"/>
              </w:rPr>
              <w:t>b5f706_V3_gothic10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