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816" w:type="dxa"/>
        <w:tblCellMar>
          <w:top w:w="0" w:type="dxa"/>
          <w:left w:w="0" w:type="dxa"/>
          <w:bottom w:w="0" w:type="dxa"/>
          <w:right w:w="0" w:type="dxa"/>
        </w:tblCellMar>
        <w:tblBorders>
          <w:top w:val="single" w:sz="4" w:space="0" w:color="auto"/>
          <w:left w:val="single" w:sz="4" w:space="0" w:color="auto"/>
          <w:bottom w:val="single" w:sz="4" w:space="0" w:color="auto"/>
          <w:right w:val="single" w:sz="4" w:space="0" w:color="auto"/>
        </w:tblBorders>
      </w:tblPr>
      <w:tblGrid>
        <w:gridCol w:w="8816"/>
      </w:tblGrid>
      <w:tr>
        <w:tc>
          <w:tcPr>
            <w:tcW w:w="8816" w:type="dxa"/>
          </w:tcPr>
          <w:p>
            <w:pPr>
              <w:ind w:leftChars="202" w:left="564" w:hanging="140"/>
            </w:pPr>
            <w:r>
              <w:t xml:space="preserve">カ</w:t>
            </w:r>
            <w:r>
              <w:tab/>
            </w:r>
            <w:r>
              <w:t xml:space="preserve">本利用ルールはウェブサイト全体だけでなく個別のコンテンツに適用されることもあります。</w:t>
            </w:r>
          </w:p>
        </w:tc>
      </w:tr>
    </w:tbl>
    <w:p/>
    <w:sectPr>
      <w:pgSz w:w="11906" w:h="16838"/>
      <w:pgMar w:top="1418" w:right="1418" w:bottom="1418" w:left="1418"/>
      <w:docGrid w:type="lines" w:linePitch="360"/>
    </w:sectPr>
  </w:body>
</w:document>
</file>

<file path=word/styles.xml><?xml version="1.0" encoding="utf-8"?>
<w:styles xmlns:w="http://schemas.openxmlformats.org/wordprocessingml/2006/main">
  <w:docDefaults>
    <w:rPrDefault>
      <w:rPr>
        <w:rFonts w:ascii="ＭＳ Ｐゴシック" w:eastAsia="ＭＳ Ｐゴシック" w:hAnsi="ＭＳ Ｐゴシック"/>
        <w:sz w:val="21"/>
        <w:szCs w:val="21"/>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