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541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541"/>
      </w:tblGrid>
      <w:tr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120" w:line="220" w:lineRule="exact"/>
              <w:ind w:left="543" w:right="156" w:hanging="217"/>
              <w:rPr>
                <w:spacing w:val="0"/>
              </w:rPr>
            </w:pPr>
            <w:r>
              <w:rPr>
                <w:rFonts w:hint="eastAsia"/>
                <w:spacing w:val="0"/>
              </w:rPr>
              <w:t xml:space="preserve">○　暴力団員による不当な行為の防止等に関する法律（平成３年法律第77号）第２条第６号に規定する暴力団員又は暴力団員でなくなった日から５年を経過しない者（以下「暴力団員等」という。）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hAnsi="Century" w:eastAsia="ＭＳ 明朝"/>
        <w:sz w:val="22"/>
        <w:szCs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