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Yu Gothic" w:eastAsia="Yu Gothic"/>
                <w:sz w:val="16"/>
                <w:szCs w:val="16"/>
              </w:rPr>
            </w:pPr>
            <w:r>
              <w:rPr>
                <w:rFonts w:ascii="Yu Gothic" w:eastAsia="Yu Gothic" w:hint="eastAsia"/>
                <w:sz w:val="16"/>
              </w:rPr>
              <w:t>テスト１</w:t>
            </w:r>
          </w:p>
          <w:p>
            <w:pPr>
              <w:snapToGrid w:val="0"/>
              <w:rPr>
                <w:rFonts w:ascii="Yu Gothic" w:eastAsia="Yu Gothic"/>
                <w:sz w:val="16"/>
                <w:szCs w:val="16"/>
              </w:rPr>
            </w:pPr>
            <w:r>
              <w:rPr>
                <w:rFonts w:ascii="Yu Gothic" w:eastAsia="Yu Gothic" w:hint="eastAsia"/>
                <w:sz w:val="16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Yu Gothic" w:eastAsia="Yu Gothic" w:hAnsi="Yu Gothic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