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r>
        <w:t>BEFORE marker</w:t>
      </w:r>
    </w:p>
    <w:p>
      <w:pPr>
        <w:ind w:firstLineChars="100" w:firstLine="240"/>
      </w:pPr>
      <w:r>
        <w:rPr>
          <w:sz w:val="24"/>
        </w:rPr>
        <w:t xml:space="preserve">　　　　　　　　　　テキスト終わり</w:t>
      </w:r>
    </w:p>
    <w:p>
      <w:r>
        <w:t>AFTER marker</w:t>
      </w:r>
    </w:p>
    <w:sectPr>
      <w:pgSz w:w="11906" w:h="16838"/>
      <w:pgMar w:top="1440" w:right="1080" w:bottom="1440" w:left="1080" w:header="851" w:footer="992" w:gutter="0"/>
      <w:docGrid w:type="lines"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S Gothic" w:hAnsi="MS Gothic" w:eastAsia="MS Gothic"/>
        <w:sz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