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、各機関で独自に定義し、具体例は「観測値の定義」を参照し、以下の表を見ます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