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、各機関で独自に定義し、具体例は「観測値の定義」を参照し、以下の表を見ます。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