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メイリオ" w:eastAsia="メイリオ" w:hAnsi="メイリオ"/>
          <w:sz w:val="21"/>
          <w:szCs w:val="21"/>
        </w:rPr>
      </w:pPr>
      <w:r>
        <w:rPr>
          <w:rFonts w:ascii="メイリオ" w:eastAsia="メイリオ" w:hAnsi="メイリオ"/>
          <w:sz w:val="21"/>
          <w:szCs w:val="21"/>
        </w:rPr>
        <w:t xml:space="preserve">メタデータは、各機関で独自に定義します。具体例は、「９．例 (1)メタデータ」を参照ください。</w:t>
      </w:r>
    </w:p>
    <w:sectPr>
      <w:pgSz w:w="11906" w:h="16838"/>
      <w:pgMar w:top="1134" w:right="1134" w:bottom="1134" w:left="1134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4"/>
  </w:compat>
  <w:characterSpacingControl w:val="doNotCompress"/>
</w:settings>
</file>

<file path=word/_rels/document.xml.rels><?xml version="1.0"?><Relationships xmlns="http://schemas.openxmlformats.org/package/2006/relationships"><Relationship Id="rId1" Type="http://schemas.openxmlformats.org/officeDocument/2006/relationships/settings" Target="settings.xml"/></Relationships>
</file>