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基本的な考え方</w:t>
      </w:r>
    </w:p>
    <w:p>
      <w:pPr>
        <w:numPr>
          <w:ilvl w:val="0"/>
          <w:numId w:val="1"/>
        </w:num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公開するデータ</w:t>
      </w:r>
    </w:p>
    <w:p>
      <w:pPr>
        <w:numPr>
          <w:ilvl w:val="0"/>
          <w:numId w:val="1"/>
        </w:num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オントロジ</w:t>
      </w:r>
    </w:p>
    <w:sectPr>
      <w:pgSz w:w="11906" w:h="16838"/>
      <w:pgMar w:top="1134" w:right="851" w:bottom="1134" w:left="1134" w:header="851" w:footer="992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FullWidth"/>
      <w:lvlText w:val="%1．"/>
      <w:lvlJc w:val="left"/>
      <w:pPr>
        <w:ind w:left="426" w:hanging="426"/>
      </w:pPr>
    </w:lvl>
  </w:abstractNum>
  <w:num w:numId="1">
    <w:abstractNumId w:val="0"/>
  </w:num>
</w:numbering>
</file>

<file path=word/_rels/document.xml.rels><?xml version="1.0"?><Relationships xmlns="http://schemas.openxmlformats.org/package/2006/relationships"><Relationship Id="rId1" Type="http://schemas.openxmlformats.org/officeDocument/2006/relationships/numbering" Target="numbering.xml"/></Relationships>
</file>