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基本的な考え方</w:t>
      </w:r>
    </w:p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公開するデータ</w:t>
      </w:r>
    </w:p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オントロジ</w:t>
      </w:r>
    </w:p>
    <w:sectPr>
      <w:pgSz w:w="11906" w:h="16838"/>
      <w:pgMar w:top="1134" w:right="851" w:bottom="1134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numbering" Target="numbering.xml"/></Relationships>
</file>