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基本的な考え方</w:t>
      </w:r>
    </w:p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公開するデータ</w:t>
      </w:r>
    </w:p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オントロジ</w:t>
      </w:r>
    </w:p>
    <w:sectPr>
      <w:pgSz w:w="11906" w:h="16838"/>
      <w:pgMar w:top="1134" w:right="851" w:bottom="1134" w:left="1134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suff w:val="space"/>
      <w:pPr>
        <w:ind w:left="720" w:hanging="360"/>
      </w:pPr>
    </w:lvl>
  </w:abstractNum>
  <w:num w:numId="1">
    <w:abstractNumId w:val="0"/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numbering" Target="numbering.xml"/></Relationships>
</file>