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  <w:sz w:val="32"/>
        </w:rPr>
        <w:t>Oxidocs Test Document</w:t>
      </w:r>
    </w:p>
    <w:p>
      <w:r>
        <w:t>This is a normal paragraph with </w:t>
      </w:r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>.</w:t>
      </w:r>
    </w:p>
    <w:p>
      <w:r>
        <w:t>日本語テスト：禁則処理の確認。「括弧」や、句読点。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>Cell A1</w:t>
            </w:r>
          </w:p>
        </w:tc>
        <w:tc>
          <w:p>
            <w:r>
              <w:t>Cell B1</w:t>
            </w:r>
          </w:p>
        </w:tc>
      </w:tr>
      <w:tr>
        <w:tc>
          <w:p>
            <w:r>
              <w:t>Cell A2</w:t>
            </w:r>
          </w:p>
        </w:tc>
        <w:tc>
          <w:p>
            <w:r>
              <w:t>Cell B2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S Mincho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