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 xmlns:wp14="http://schemas.microsoft.com/office/word/2010/wordprocessingDrawing" xmlns:mc="http://schemas.openxmlformats.org/markup-compatibility/2006" xmlns:r="http://schemas.openxmlformats.org/officeDocument/2006/relationships" mc:Ignorable="wp14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body before tbl</w:t>
      </w:r>
    </w:p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cell-anchor (shape)</w:t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1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114300</wp:posOffset>
                      </wp:positionV>
                      <wp:extent cx="1270000" cy="762000"/>
                      <wp:effectExtent l="0" t="0" r="0" b="0"/>
                      <wp:wrapNone/>
                      <wp:docPr id="1" name="rect_114300"/>
                      <wp:cNvGraphicFramePr/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70000" cy="762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rgbClr val="0000FF"/>
                                </a:solidFill>
                              </a:ln>
                            </wps:spPr>
                            <wps:bodyPr rot="0"/>
                          </wps:wsp>
                        </a:graphicData>
                      </a:graphic>
                    </wp:anchor>
                  </w:drawing>
                </mc:Choice>
              </mc:AlternateConten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body after tbl</w:t>
      </w:r>
    </w:p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_rels/document.xml.rels><?xml version="1.0" encoding="UTF-8" standalone="yes"?><Relationships xmlns="http://schemas.openxmlformats.org/package/2006/relationships"/>
</file>