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ageBreakBefore/>
        <w:jc w:val="both"/>
        <w:ind w:left="360" w:right="1200" w:hanging="0"/>
        <w:spacing w:before="0" w:after="0" w:line="256" w:lineRule="auto"/>
      </w:pPr>
      <w:r>
        <w:rPr>
          <w:rFonts w:ascii="Arial" w:hAnsi="Arial"/>
          <w:sz w:val="22"/>
          <w:lang w:eastAsia="ja-JP"/>
        </w:rPr>
        <w:t>The regional team in North Valley reviewed the latest results for participants aged 15 to 24 years old, and recorded a delivery completion level of 63%, compared to a benchmark of 85%.</w:t>
      </w:r>
    </w:p>
    <w:sectPr>
      <w:pgSz w:w="12240" w:h="15840"/>
      <w:pgMar w:top="720" w:bottom="720" w:left="720" w:right="80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suff w:val="nothing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numbering" Type="http://schemas.openxmlformats.org/officeDocument/2006/relationships/numbering" Target="numbering.xml"/><Relationship Id="settings" Type="http://schemas.openxmlformats.org/officeDocument/2006/relationships/settings" Target="settings.xml"/></Relationships>
</file>