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運転手車両点検確認等動作状態健康出席管理責任者当日欠乗。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