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運転手車両点検確認等動作状態健康出席管理責任者当日欠乗名。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