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運転手車、両点検確認（等動作状、態健康出席管理）責任者当日欠。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