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運転手車両点検確認等動作状態健康出席管理責任者当日欠。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