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spacing w:line="440" w:lineRule="exact"/>
        <w:ind w:left="300" w:hangingChars="100" w:hanging="300"/>
        <w:rPr>
          <w:rFonts w:ascii="ＭＳ ゴシック" w:eastAsia="ＭＳ ゴシック" w:hAnsi="ＭＳ ゴシック" w:hint="eastAsia"/>
          <w:sz w:val="30"/>
          <w:szCs w:val="30"/>
        </w:rPr>
      </w:pPr>
      <w:r>
        <w:rPr>
          <w:rFonts w:ascii="ＭＳ ゴシック" w:eastAsia="ＭＳ ゴシック" w:hAnsi="ＭＳ ゴシック" w:hint="eastAsia"/>
          <w:sz w:val="30"/>
          <w:szCs w:val="30"/>
        </w:rPr>
        <w:t xml:space="preserve">□ 運転手車、両点検確認（等動作状、態健康出席管理）責任者。</w:t>
      </w:r>
    </w:p>
    <w:p>
      <w:r>
        <w:t>B</w:t>
      </w:r>
    </w:p>
    <w:sectPr>
      <w:pgSz w:w="11906" w:h="16838" w:code="9"/>
      <w:pgMar w:top="1191" w:right="1134" w:bottom="1191" w:left="1134" w:header="567" w:footer="34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