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運転手車、両点検確認（等動作状、態健康出席管理）責任者当。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