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運転手車、両点検確認（等動作状、態健康出席管理）責任者当日欠乗名。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