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line="340" w:lineRule="exact"/>
        <w:ind w:firstLineChars="100" w:firstLine="210"/>
        <w:jc w:val="left"/>
      </w:pPr>
      <w:r>
        <w:rPr>
          <w:rFonts w:hint="eastAsia"/>
        </w:rPr>
        <w:t xml:space="preserve">卸売市場法第６条第１項（第14条において準用する同法第６条第１項）の規定により、中央卸売市場（地方卸売市場）に係る認定事項の変更について認定を受けたいので、次のとおり申請します。</w:t>
      </w:r>
    </w:p>
    <w:sectPr>
      <w:pgSz w:w="11906" w:h="16838"/>
      <w:pgMar w:top="1134" w:right="1382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1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