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table content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after-inline para</w:t>
      </w: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FT_inline_p_Y0 tblpY=0tw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