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20"/>
          <w:szCs w:val="20"/>
        </w:rPr>
        <w:t xml:space="preserve">AVANCE DEL PROYECTO FINAL  ·  VAL / PI</w:t>
      </w:r>
    </w:p>
    <w:p>
      <w:pPr>
        <w:spacing w:after="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365D"/>
          <w:sz w:val="44"/>
          <w:szCs w:val="44"/>
        </w:rPr>
        <w:t xml:space="preserve">INFORME DE PRUEBAS INTEGRALES</w:t>
      </w:r>
    </w:p>
    <w:p>
      <w:pPr>
        <w:spacing w:after="4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</w:rPr>
        <w:t xml:space="preserve">ReservaYa — plataforma de reserva de espacios físicos</w:t>
      </w:r>
    </w:p>
    <w:p>
      <w:pPr>
        <w:spacing w:after="3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B6770"/>
          <w:sz w:val="22"/>
          <w:szCs w:val="22"/>
        </w:rPr>
        <w:t xml:space="preserve">HT-04 · Frontend independiente + API Rails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Proyecto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ReservaYa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Curso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Curso Integrador II de Software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Marco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CMMI Nivel 3 — áreas VAL (Validación) y PI (Integración de producto)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Repos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github.com/Ryusse/reservaya-frontend  ·  github.com/Ryusse/reservaya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Sprint / hito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Sprint 2  ·  HT-04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Equipo de desarrollo / analista de pruebas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Fecha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 de septiembre de 2026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Versión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Estado del pase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Pendiente de ejecución (casos diseñados)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Este documento explica qué son las pruebas integrales, cómo se distinguen de las unitarias y de las funcionales de API, y presenta los casos de ReservaYa listos para ejecutar y adjuntar como evidencia al APF.</w:t>
      </w:r>
    </w:p>
    <w:p>
      <w:pPr>
        <w:pStyle w:val="Heading1"/>
        <w:pBdr>
          <w:bottom w:val="single" w:color="1B365D" w:sz="12" w:space="4"/>
        </w:pBdr>
        <w:spacing w:before="280" w:after="1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¿Qué son las pruebas integrales?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Las pruebas integrales verifican el producto ya ensamblado: el usuario recorre un flujo completo y se comprueba que las capas trabajan juntas, no cada pieza por separado.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 ReservaYa eso significa: pantalla (SPA en :3000) → cliente HTTP con cookie → API Rails (:3100) → base de datos → respuesta otra vez en la pantalla. Si el login “funciona” en un test de adapter pero la cookie no viaja por CORS, la prueba integral falla. Esa es la diferencia.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En CMMI Nivel 3 encajan en dos áreas: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PI (Integración de producto): se ensamblan frontend y API según la secuencia (repos independientes, RNF07) y se comprueba el contrato entre ellos.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VAL (Validación): se confirma que el incremento cumple los criterios de aceptación de las historias, en el entorno de pruebas, como lo usaría el usuario.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No son pruebas de un solo módulo (eso es unitario) ni solo del endpoint (eso es prueba funcional de API). Son del sistema junto.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1.1 Cómo se distinguen de los otros niveles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B6770"/>
          <w:sz w:val="22"/>
          <w:szCs w:val="22"/>
        </w:rPr>
        <w:t xml:space="preserve">Tabla para el informe. Úsala tal cual en la exposición.</w:t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365D" w:sz="12" w:space="4"/>
        </w:pBdr>
        <w:spacing w:before="280" w:after="1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Pirámide de pruebas en ReservaYa</w:t>
      </w:r>
    </w:p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 abajo hacia arriba: más casos, más baratos, menos realismo. Las integrales están arriba: pocos casos, caros de ejecutar, máximamente realistas.</w:t>
      </w:r>
    </w:p>
    <w:tbl>
      <w:tblPr>
        <w:tblW w:type="dxa" w:w="127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3200"/>
        <w:gridCol w:w="2800"/>
        <w:gridCol w:w="2170"/>
      </w:tblGrid>
      <w:tr>
        <w:trPr>
          <w:tblHeader/>
        </w:trPr>
        <w:tc>
          <w:tcPr>
            <w:tcW w:type="dxa" w:w="18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28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¿Qué prueba?</w:t>
            </w:r>
          </w:p>
        </w:tc>
        <w:tc>
          <w:tcPr>
            <w:tcW w:type="dxa" w:w="32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Ejemplo en ReservaYa</w:t>
            </w:r>
          </w:p>
        </w:tc>
        <w:tc>
          <w:tcPr>
            <w:tcW w:type="dxa" w:w="28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Dónde vive</w:t>
            </w:r>
          </w:p>
        </w:tc>
        <w:tc>
          <w:tcPr>
            <w:tcW w:type="dxa" w:w="217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Automatizado</w:t>
            </w:r>
          </w:p>
        </w:tc>
      </w:tr>
      <w:tr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Unitaria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Una función o clase aislada</w:t>
            </w:r>
          </w:p>
        </w:tc>
        <w:tc>
          <w:tcPr>
            <w:tcW w:type="dxa" w:w="3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toSpace() convierte snake_case → camelCase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Vitest junto al fuente (issue #9)</w:t>
            </w:r>
          </w:p>
        </w:tc>
        <w:tc>
          <w:tcPr>
            <w:tcW w:type="dxa" w:w="21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Sí</w:t>
            </w:r>
          </w:p>
        </w:tc>
      </w:tr>
      <w:tr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Integración (módulos)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Dos piezas de la misma capa</w:t>
            </w:r>
          </w:p>
        </w:tc>
        <w:tc>
          <w:tcPr>
            <w:tcW w:type="dxa" w:w="3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Controller + modelo: POST /spaces crea el registro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test/controllers en Rails</w:t>
            </w:r>
          </w:p>
        </w:tc>
        <w:tc>
          <w:tcPr>
            <w:tcW w:type="dxa" w:w="21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Sí (bin/rails test)</w:t>
            </w:r>
          </w:p>
        </w:tc>
      </w:tr>
      <w:tr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Funcional de API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Un endpoint contra criterios de HU</w:t>
            </w:r>
          </w:p>
        </w:tc>
        <w:tc>
          <w:tcPr>
            <w:tcW w:type="dxa" w:w="3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Login 200, 401, 403 — sprint-1.md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reservaya/docs/qa/sprint-1.md</w:t>
            </w:r>
          </w:p>
        </w:tc>
        <w:tc>
          <w:tcPr>
            <w:tcW w:type="dxa" w:w="21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Sí + manual</w:t>
            </w:r>
          </w:p>
        </w:tc>
      </w:tr>
      <w:tr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Integral / de sistema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Flujo de usuario sobre el producto ensamblado</w:t>
            </w:r>
          </w:p>
        </w:tc>
        <w:tc>
          <w:tcPr>
            <w:tcW w:type="dxa" w:w="3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Admin entra, crea un espacio y lo ve en la tabla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Este documento (VAL)</w:t>
            </w:r>
          </w:p>
        </w:tc>
        <w:tc>
          <w:tcPr>
            <w:tcW w:type="dxa" w:w="21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Manual (este pase)</w:t>
            </w:r>
          </w:p>
        </w:tc>
      </w:tr>
      <w:tr>
        <w:tc>
          <w:tcPr>
            <w:tcW w:type="dxa" w:w="1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Aceptación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El cliente/PO firma el incremento</w:t>
            </w:r>
          </w:p>
        </w:tc>
        <w:tc>
          <w:tcPr>
            <w:tcW w:type="dxa" w:w="3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Sprint Review contra criterios de la HU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Review + DoD del PR</w:t>
            </w:r>
          </w:p>
        </w:tc>
        <w:tc>
          <w:tcPr>
            <w:tcW w:type="dxa" w:w="21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Manual</w:t>
            </w:r>
          </w:p>
        </w:tc>
      </w:tr>
    </w:tbl>
    <w:p>
      <w:pPr>
        <w:spacing w:after="20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Regla práctica: si puedes romper el cable entre el front y la API y el test sigue pasando, no era integral. Era unitaria o de API.</w:t>
      </w:r>
    </w:p>
    <w:p>
      <w:pPr>
        <w:sectPr>
          <w:headerReference w:type="default" r:id="rId8"/>
          <w:footerReference w:type="default" r:id="rId9"/>
          <w:pgSz w:w="16838" w:h="11906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365D" w:sz="12" w:space="4"/>
        </w:pBdr>
        <w:spacing w:before="280" w:after="1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Objetivo y alcance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2.1 Objetivo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Demostrar que el frontend independiente y la API Rails, desplegados como capas separadas (RNF07), cumplen juntos los criterios de aceptación migrados en HT-04: acceso por rol, registro de usuario y CRUD de espacios.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2.2 Alcance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Dentro: login, sesión por cookie, guards de ruta, registro, alta/edición/baja de espacios, logout, RNF03 (responsive) y RNF07 (capas separadas).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Fuera: HU04–HU10 (disponibilidad, reservas, dashboard, reportes, notificaciones) — no forman parte de HT-04.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Fuera: pruebas unitarias Vitest (issue #9) y request specs de Rails (ya documentados en sprint-1.md).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2.3 Criterio de aceptación del pase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Todos los casos PI-00 a PI-22 ejecutados.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Cero defectos abiertos, o cada fallo con issue bugfix/ enlazado.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Evidencia: captura o log de red citado en la columna Resultado obtenido.</w:t>
      </w:r>
    </w:p>
    <w:p>
      <w:pPr>
        <w:pStyle w:val="Heading1"/>
        <w:pBdr>
          <w:bottom w:val="single" w:color="1B365D" w:sz="12" w:space="4"/>
        </w:pBdr>
        <w:spacing w:before="280" w:after="1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 Ambiente de pruebas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Frontend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reservaya-frontend  ·  http://localhost:3000  ·  pnpm dev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API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reservaya  ·  http://localhost:3100  ·  bin/dev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Base de datos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PostgreSQL (Docker) con seed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Admin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admin@test.com  /  secret123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Usuario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user@test.com  /  secret123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Sesión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Cookie httpOnly reservaya_session (SameSite=None; Secure en cross-site)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Contrato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VITE_API_URL=http://localhost:3100  ·  withCredentials: true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Navegador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Chrome o Safari, DevTools → Red + Application → Cookies</w:t>
            </w:r>
          </w:p>
        </w:tc>
      </w:tr>
      <w:tr>
        <w:tc>
          <w:tcPr>
            <w:tcW w:type="dxa" w:w="308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Bloqueo conocido</w:t>
            </w:r>
          </w:p>
        </w:tc>
        <w:tc>
          <w:tcPr>
            <w:tcW w:type="dxa" w:w="6554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CORS comentado en el backend (reservaya#63). Si falla PI-00c, se detiene el pase de UI.</w:t>
            </w:r>
          </w:p>
        </w:tc>
      </w:tr>
    </w:tbl>
    <w:p>
      <w:pPr>
        <w:pStyle w:val="Heading1"/>
        <w:pBdr>
          <w:bottom w:val="single" w:color="1B365D" w:sz="12" w:space="4"/>
        </w:pBdr>
        <w:spacing w:before="280" w:after="1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 Procedimiento (cómo se ejecutan)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Levantar la API en :3100 y comprobar curl http://localhost:3100/up → 200.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Levantar el frontend en :3000 (pnpm dev).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Ejecutar los casos en orden (PI-00 primero: si el contrato entre capas falla, el resto no vale).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Para cada caso: seguir los pasos, comparar con el resultado esperado, escribir el obtenido y marcar OK o NO OK.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Si NO OK: abrir issue tipo bugfix/&lt;slug&gt;, citar el ID del caso (PI-03) y adjuntar captura.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Al cerrar el pase, actualizar la matriz resumen de la sección 5 y el control de versiones.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Herramienta: este Word. No se exige Playwright en este hito; el DoD del APF pide evidencia de ejecución, no automatización de UI.</w:t>
      </w:r>
    </w:p>
    <w:p>
      <w:pPr>
        <w:pStyle w:val="Heading1"/>
        <w:pBdr>
          <w:bottom w:val="single" w:color="1B365D" w:sz="12" w:space="4"/>
        </w:pBdr>
        <w:spacing w:before="280" w:after="1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5. Cómo se muestra en Word (plantilla de un caso)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Un caso integral siempre lleva estos campos. Copia la tabla por cada escenario. No uses un párrafo suelto: el auditor de calidad busca código, pasos, esperado y obtenido.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Código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PI-XX  (único, estable; no se renumera si se inserta otro caso)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Nombre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Frase corta: Login administrador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Historia / RF / RNF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HT-01  ·  RF de acceso  ·  RNF07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Prioridad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 / Media / Baja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Integral (sistema ensamblado)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Qué tiene que estar listo ANTES (servicios, seed, rol, datos).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Correo, password, campos del formulario, URL.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Pasos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Numerados, una acción por paso, como los haría el usuario.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Qué se ve en pantalla Y qué pasa en red/BD (status HTTP, cookie, fila nueva).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 llena al ejecutar. Vacío = no ejecutado.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Pendiente  |  OK  |  NO OK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Evidencia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Captura, issue, o log. En el APF se pega debajo o se anexa.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matriz de la sección 6 es el resumen para la exposición (una fila por caso). Las tablas de la sección 7 son el expediente: ahí se demuestra que cada criterio de aceptación se recorrió de punta a punta.</w:t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365D" w:sz="12" w:space="4"/>
        </w:pBdr>
        <w:spacing w:before="280" w:after="1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6. Matriz resumen de casos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B6770"/>
          <w:sz w:val="22"/>
          <w:szCs w:val="22"/>
        </w:rPr>
        <w:t xml:space="preserve">Vista para el Sprint Review y el APF. Estado actual: diseñado, pendiente de ejecución.</w:t>
      </w:r>
    </w:p>
    <w:tbl>
      <w:tblPr>
        <w:tblW w:type="dxa" w:w="12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800"/>
        <w:gridCol w:w="4200"/>
        <w:gridCol w:w="2470"/>
      </w:tblGrid>
      <w:tr>
        <w:trPr>
          <w:tblHeader/>
        </w:trPr>
        <w:tc>
          <w:tcPr>
            <w:tcW w:type="dxa" w:w="9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Bloque</w:t>
            </w:r>
          </w:p>
        </w:tc>
        <w:tc>
          <w:tcPr>
            <w:tcW w:type="dxa" w:w="28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42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Resultado esperado (corto)</w:t>
            </w:r>
          </w:p>
        </w:tc>
        <w:tc>
          <w:tcPr>
            <w:tcW w:type="dxa" w:w="247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PI-00a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RNF07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API viva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GET /up → 200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PI-00b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RNF07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SPA sirve login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http://localhost:3000 muestra login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PI-00c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RNF07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CORS + credenciales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Allow-Origin = :3000 y Allow-Credentials true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PI-00d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Contrato RNF07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Cookie de sesión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reservaya_session HttpOnly, no leíble por JS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PI-01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HT-01 Acceso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Login admin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Redirect /admin; sidebar Espacios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PI-02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HT-01 Acceso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Login user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Redirect /; “Hola, Usuario Institucional”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PI-03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HT-01 Acceso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Credenciales inválidas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Mensaje de error; sin cookie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PI-04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HT-01 Acceso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Guard sin sesión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/ y /admin redirigen a /login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PI-05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HT-01 Acceso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Guard por rol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user en /admin → redirect a /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PI-06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HT-01 Acceso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Sesión al recargar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Sigue autenticado; GET /session 200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PI-07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HT-01 Acceso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Logout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Cookie borrada; vuelve a /login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PI-08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HT-01 Acceso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401 en API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Interceptor limpia sesión y manda a login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PI-09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HU03 Registro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Registro OK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201, auto-login, rol user, home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PI-10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HU03 Registro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Validación Zod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 llama API; error en el campo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PI-11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HU03 Registro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Email duplicado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422 y mensaje de API en pantalla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PI-12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HU03 Registro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Público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POST /register sin cookie → 201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PI-13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HU01/02 Espacios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Listado admin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Tabla con seed; GET /spaces 200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PI-14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HU01/02 Espacios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Alta OK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Fila nueva; POST /spaces 201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PI-15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HU01/02 Espacios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Alta inválida (UI)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Zod bloquea; no hay POST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PI-16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HU01/02 Espacios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Alta inválida (API)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422; errores bajo el form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PI-17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HU01/02 Espacios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Editar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Cambio persistido; PATCH 200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PI-18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HU01/02 Espacios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Dar de baja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Sale de la tabla; ya no en GET /spaces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PI-19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HU01/02 Espacios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User no crea espacios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POST /spaces con cookie user → 403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PI-20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RNF03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Responsive 1280 / 375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Form y tabla usables en móvil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7F6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PI-21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7F6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RNF04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7F6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Hash de contraseña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7F6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Cubierto en Sprint 1 (API)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E7F6E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F7A4D"/>
                <w:sz w:val="16"/>
                <w:szCs w:val="16"/>
              </w:rPr>
              <w:t xml:space="preserve">OK (Sprint 1)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PI-22</w:t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RNF07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Capas independientes</w:t>
            </w:r>
          </w:p>
        </w:tc>
        <w:tc>
          <w:tcPr>
            <w:tcW w:type="dxa" w:w="4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Front y API en repos y puertos distintos</w:t>
            </w:r>
          </w:p>
        </w:tc>
        <w:tc>
          <w:tcPr>
            <w:tcW w:type="dxa" w:w="247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FF4D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8A5A00"/>
                <w:sz w:val="16"/>
                <w:szCs w:val="16"/>
              </w:rPr>
              <w:t xml:space="preserve">Pendiente</w:t>
            </w:r>
          </w:p>
        </w:tc>
      </w:tr>
    </w:tbl>
    <w:p>
      <w:pPr>
        <w:sectPr>
          <w:headerReference w:type="default" r:id="rId12"/>
          <w:footerReference w:type="default" r:id="rId13"/>
          <w:pgSz w:w="16838" w:h="11906" w:orient="landscape"/>
          <w:pgMar w:top="900" w:right="900" w:bottom="900" w:left="9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365D" w:sz="12" w:space="4"/>
        </w:pBdr>
        <w:spacing w:before="280" w:after="1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7. Casos detallados (expediente)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documentan completos los casos representativos de cada bloque. El resto se ejecuta con la matriz de la sección 6; si un caso falla, se expande a esta plantilla en la siguiente versión del informe.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7.1 PI-01 — Login administrador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Código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PI-01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Nombre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Login administrador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Historia / RF / RNF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HT-01  ·  acceso  ·  RNF07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Prioridad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Integral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 :3100 y front :3000 arriba. Seed cargado. Sin sesión previa (ventana privada).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Correo: admin@test.com  ·  Contraseña: secret123  ·  URL: /login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Pasos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Abrir http://localhost:3000/login.  2. Completar correo y contraseña.  3. Clic en Entrar.  4. Observar URL, sidebar y cookie en DevTools.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Redirect a /admin. Sidebar muestra Espacios (no Inicio). Nombre Administrador. POST /session 200. Cookie reservaya_session HttpOnly.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Evidencia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7.2 PI-03 — Credenciales inválidas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Código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PI-03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Nombre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Credenciales inválidas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Historia / RF / RNF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HT-01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Prioridad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Integral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Misma que PI-01. Sin sesión.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admin@test.com  ·  password: wrong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Pasos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Ir a /login.  2. Enviar credenciales inválidas.  3. Revisar mensaje en pantalla y pestaña Red / Cookies.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Permanece en /login. Texto “Correo o contraseña inválidos”. POST /session 401. No se crea cookie de sesión.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Evidencia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7.3 PI-05 — Guard por rol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Código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PI-05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Nombre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Usuario no entra a /admin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Historia / RF / RNF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HT-01  ·  control de acceso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Prioridad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Integral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Sesión de user@test.com (ejecutar PI-02 antes).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directa: http://localhost:3000/admin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Pasos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Loguearse como user.  2. Comprobar que el sidebar no muestra Espacios.  3. Pegar /admin en la barra de direcciones.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Redirect a /. El ítem Espacios no aparece. La API, si se llama POST /spaces con esa cookie, responde 403 (PI-19).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Evidencia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7.4 PI-09 — Registro de usuario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Código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PI-09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Nombre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Registro exitoso con auto-login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Historia / RF / RNF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HU03  ·  RNF04 (el hash se verifica en API)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Prioridad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Integral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 sesión. Email no existente.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Nombre: QA Integral  ·  Correo: qa+YYYYMMDDhhmm@test.com  ·  Password: secret123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Pasos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Abrir /register.  2. Completar el formulario.  3. Clic Registrarme.  4. Ver a dónde navega y el rol en el sidebar.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POST /register 201. Queda logueado. Home de usuario (no /admin). Rol user; un payload role=admin se ignora en backend.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Evidencia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7.5 PI-14 — Alta de espacio desde la UI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Código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PI-14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Nombre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Admin crea un espacio y lo ve en la tabla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Historia / RF / RNF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HU01  ·  RNF07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Prioridad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Integral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Sesión admin (PI-01). /admin carga el listado (PI-13).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Nombre: Sala QA  ·  Ubicación: Piso 4  ·  Capacidad: 4  ·  Horario: 08:00–18:00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Pasos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Clic Nuevo espacio.  2. Llenar el formulario.  3. Guardar.  4. Ver la tabla y la pestaña Red (POST /spaces).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El diálogo cierra. Aparece la fila Sala QA. POST /spaces 201. Un GET /spaces posterior incluye el registro.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Pendiente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Evidencia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7.6 PI-00c — Contrato CORS (bloqueante)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9"/>
        <w:gridCol w:w="6939"/>
      </w:tblGrid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Código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PI-00c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Nombre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CORS y credenciales entre :3000 y :3100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Historia / RF / RNF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HT-04  ·  RNF07  ·  reservaya#63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Prioridad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Alta (bloquea el pase de UI si falla)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Tipo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Integral — contrato entre capas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Ambos servicios arriba.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Datos de entrada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Origin: http://localhost:3000  ·  POST /session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Pasos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Desde el login, enviar credenciales válidas.  2. En Red, inspeccionar preflight OPTIONS y el POST.  3. Ver cabeceras CORS y Set-Cookie.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esperado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Access-Control-Allow-Origin es http://localhost:3000 (nunca *). Allow-Credentials: true. La cookie queda guardada para el host de la API.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Resultado obtenido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Estado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Pendiente — riesgo conocido: CORS comentado en el backend</w:t>
            </w:r>
          </w:p>
        </w:tc>
      </w:tr>
      <w:tr>
        <w:tc>
          <w:tcPr>
            <w:tcW w:type="dxa" w:w="269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D6E3F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Evidencia</w:t>
            </w:r>
          </w:p>
        </w:tc>
        <w:tc>
          <w:tcPr>
            <w:tcW w:type="dxa" w:w="6939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Issue reservaya#63</w:t>
            </w:r>
          </w:p>
        </w:tc>
      </w:tr>
    </w:tbl>
    <w:p>
      <w:pPr>
        <w:sectPr>
          <w:headerReference w:type="default" r:id="rId14"/>
          <w:footerReference w:type="default" r:id="rId15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365D" w:sz="12" w:space="4"/>
        </w:pBdr>
        <w:spacing w:before="280" w:after="1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8. Trazabilidad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Cada caso integral apunta a una historia o habilitador. Así el APF muestra VER/VAL, no una lista suelta de clics.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00"/>
        <w:gridCol w:w="4738"/>
      </w:tblGrid>
      <w:tr>
        <w:trPr>
          <w:tblHeader/>
        </w:trPr>
        <w:tc>
          <w:tcPr>
            <w:tcW w:type="dxa" w:w="21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HU / HT / RNF</w:t>
            </w:r>
          </w:p>
        </w:tc>
        <w:tc>
          <w:tcPr>
            <w:tcW w:type="dxa" w:w="28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Criterio que se valida</w:t>
            </w:r>
          </w:p>
        </w:tc>
        <w:tc>
          <w:tcPr>
            <w:tcW w:type="dxa" w:w="4738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Casos</w:t>
            </w:r>
          </w:p>
        </w:tc>
      </w:tr>
      <w:t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HT-01 Acceso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Login, 401, guard de ruta y de rol</w:t>
            </w:r>
          </w:p>
        </w:tc>
        <w:tc>
          <w:tcPr>
            <w:tcW w:type="dxa" w:w="4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PI-01 a PI-08</w:t>
            </w:r>
          </w:p>
        </w:tc>
      </w:tr>
      <w:t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HU03 Registro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Alta pública, validación, duplicado, auto-login</w:t>
            </w:r>
          </w:p>
        </w:tc>
        <w:tc>
          <w:tcPr>
            <w:tcW w:type="dxa" w:w="4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PI-09 a PI-12</w:t>
            </w:r>
          </w:p>
        </w:tc>
      </w:tr>
      <w:t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HU01 Alta de espacios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Crear con datos válidos / inválidos</w:t>
            </w:r>
          </w:p>
        </w:tc>
        <w:tc>
          <w:tcPr>
            <w:tcW w:type="dxa" w:w="4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PI-13 a PI-16</w:t>
            </w:r>
          </w:p>
        </w:tc>
      </w:tr>
      <w:t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HU02 Editar / baja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PATCH, desaparece del listado</w:t>
            </w:r>
          </w:p>
        </w:tc>
        <w:tc>
          <w:tcPr>
            <w:tcW w:type="dxa" w:w="4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PI-17, PI-18</w:t>
            </w:r>
          </w:p>
        </w:tc>
      </w:tr>
      <w:t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RNF03 Responsive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Uso en 1280px y 375px</w:t>
            </w:r>
          </w:p>
        </w:tc>
        <w:tc>
          <w:tcPr>
            <w:tcW w:type="dxa" w:w="4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PI-20</w:t>
            </w:r>
          </w:p>
        </w:tc>
      </w:tr>
      <w:t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RNF04 Hash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password_digest bcrypt (API)</w:t>
            </w:r>
          </w:p>
        </w:tc>
        <w:tc>
          <w:tcPr>
            <w:tcW w:type="dxa" w:w="4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PI-21 (Sprint 1)</w:t>
            </w:r>
          </w:p>
        </w:tc>
      </w:tr>
      <w:tr>
        <w:tc>
          <w:tcPr>
            <w:tcW w:type="dxa" w:w="21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RNF07 Capas</w:t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Front y API independientes, contrato HTTP</w:t>
            </w:r>
          </w:p>
        </w:tc>
        <w:tc>
          <w:tcPr>
            <w:tcW w:type="dxa" w:w="47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PI-00, PI-22</w:t>
            </w:r>
          </w:p>
        </w:tc>
      </w:tr>
    </w:tbl>
    <w:p>
      <w:pPr>
        <w:pStyle w:val="Heading1"/>
        <w:pBdr>
          <w:bottom w:val="single" w:color="1B365D" w:sz="12" w:space="4"/>
        </w:pBdr>
        <w:spacing w:before="280" w:after="1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9. Registro de defectos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Se llena solo si un caso queda NO OK. Un defecto sin caso que lo descubrió no entra aquí.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2800"/>
        <w:gridCol w:w="2200"/>
        <w:gridCol w:w="2138"/>
      </w:tblGrid>
      <w:tr>
        <w:trPr>
          <w:tblHeader/>
        </w:trPr>
        <w:tc>
          <w:tcPr>
            <w:tcW w:type="dxa" w:w="9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16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Caso</w:t>
            </w:r>
          </w:p>
        </w:tc>
        <w:tc>
          <w:tcPr>
            <w:tcW w:type="dxa" w:w="28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Issue GitHub</w:t>
            </w:r>
          </w:p>
        </w:tc>
        <w:tc>
          <w:tcPr>
            <w:tcW w:type="dxa" w:w="2138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D-01</w:t>
            </w:r>
          </w:p>
        </w:tc>
        <w:tc>
          <w:tcPr>
            <w:tcW w:type="dxa" w:w="1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Abierto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D-02</w:t>
            </w:r>
          </w:p>
        </w:tc>
        <w:tc>
          <w:tcPr>
            <w:tcW w:type="dxa" w:w="1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shd w:fill="F4F7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Abierto</w:t>
            </w:r>
          </w:p>
        </w:tc>
      </w:tr>
      <w:tr>
        <w:tc>
          <w:tcPr>
            <w:tcW w:type="dxa" w:w="9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D-03</w:t>
            </w:r>
          </w:p>
        </w:tc>
        <w:tc>
          <w:tcPr>
            <w:tcW w:type="dxa" w:w="16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8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200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138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Abierto</w:t>
            </w:r>
          </w:p>
        </w:tc>
      </w:tr>
    </w:tbl>
    <w:p>
      <w:pPr>
        <w:pStyle w:val="Heading1"/>
        <w:pBdr>
          <w:bottom w:val="single" w:color="1B365D" w:sz="12" w:space="4"/>
        </w:pBdr>
        <w:spacing w:before="280" w:after="1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10. Resumen del pase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Diseñados</w:t>
            </w:r>
          </w:p>
        </w:tc>
        <w:tc>
          <w:tcPr>
            <w:tcW w:type="dxa" w:w="3213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Ejecutados OK</w:t>
            </w:r>
          </w:p>
        </w:tc>
        <w:tc>
          <w:tcPr>
            <w:tcW w:type="dxa" w:w="3213"/>
            <w:tcBorders>
              <w:top w:val="single" w:color="1B365D" w:sz="4"/>
              <w:left w:val="single" w:color="1B365D" w:sz="4"/>
              <w:bottom w:val="single" w:color="1B365D" w:sz="4"/>
              <w:right w:val="single" w:color="1B365D" w:sz="4"/>
            </w:tcBorders>
            <w:shd w:fill="1B365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 OK / bloqueados</w:t>
            </w:r>
          </w:p>
        </w:tc>
      </w:tr>
      <w:tr>
        <w:tc>
          <w:tcPr>
            <w:tcW w:type="dxa" w:w="3212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23 (PI-00a…PI-22)</w:t>
            </w:r>
          </w:p>
        </w:tc>
        <w:tc>
          <w:tcPr>
            <w:tcW w:type="dxa" w:w="3213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1 (PI-21, heredado de Sprint 1)</w:t>
            </w:r>
          </w:p>
        </w:tc>
        <w:tc>
          <w:tcPr>
            <w:tcW w:type="dxa" w:w="3213"/>
            <w:tcBorders>
              <w:top w:val="single" w:color="B7C4D4" w:sz="4"/>
              <w:left w:val="single" w:color="B7C4D4" w:sz="4"/>
              <w:bottom w:val="single" w:color="B7C4D4" w:sz="4"/>
              <w:right w:val="single" w:color="B7C4D4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0 — resto pendiente</w:t>
            </w:r>
          </w:p>
        </w:tc>
      </w:tr>
    </w:tbl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Conclusión preliminar: los casos están diseñados y trazados a HT-04 / HU01 / HU02 / HU03. El pase no se declara aprobado hasta ejecutar PI-00c (CORS). Si ese caso falla, el hallazgo se registra como defecto de integración de producto (PI), no como error de la pantalla de login.</w:t>
      </w:r>
    </w:p>
    <w:p>
      <w:pPr>
        <w:pStyle w:val="Heading1"/>
        <w:pBdr>
          <w:bottom w:val="single" w:color="1B365D" w:sz="12" w:space="4"/>
        </w:pBdr>
        <w:spacing w:before="280" w:after="16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11. Referencias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Guía del Trabajo Integrador — Avance II: VAL (procedimiento, guía, plantilla de resultados) y VER.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APF1 Preliminar ReservaYa §5.1 Definition of Done.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reservaya/docs/qa/sprint-1.md — pruebas funcionales de API del Sprint 1.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reservaya-frontend/docs/qa/pruebas-integrales.md — misma batería en Markdown del repo.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2"/>
          <w:szCs w:val="22"/>
        </w:rPr>
        <w:t xml:space="preserve">GitHub Project #10 · issues HT-04 (#1) y CORS (#63).</w:t>
      </w:r>
    </w:p>
    <w:p>
      <w:pPr>
        <w:spacing w:after="2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0" w:before="0" w:line="276"/>
      </w:pPr>
      <w:r>
        <w:rPr>
          <w:rFonts w:ascii="Arial" w:cs="Arial" w:eastAsia="Arial" w:hAnsi="Arial"/>
          <w:b w:val="false"/>
          <w:bCs w:val="false"/>
          <w:i/>
          <w:iCs/>
          <w:color w:val="5B6770"/>
          <w:sz w:val="22"/>
          <w:szCs w:val="22"/>
        </w:rPr>
        <w:t xml:space="preserve">Fin del informe. Al ejecutar, no se crea otro Word: se actualizan las celdas Resultado obtenido, Estado y la sección 10, y se sube la versión 1.1 al repositorio (docs/qa/).</w:t>
      </w:r>
    </w:p>
    <w:sectPr>
      <w:headerReference w:type="default" r:id="rId16"/>
      <w:footerReference w:type="default" r:id="rId1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8" w:space="8"/>
      </w:pBdr>
      <w:spacing w:before="80"/>
    </w:pPr>
    <w:r>
      <w:rPr>
        <w:rFonts w:ascii="Arial" w:cs="Arial" w:eastAsia="Arial" w:hAnsi="Arial"/>
        <w:color w:val="5B6770"/>
        <w:sz w:val="16"/>
        <w:szCs w:val="16"/>
      </w:rPr>
      <w:t xml:space="preserve">Confidencial — uso académico</w:t>
    </w:r>
    <w:r>
      <w:rPr>
        <w:rFonts w:ascii="Arial" w:cs="Arial" w:eastAsia="Arial" w:hAnsi="Arial"/>
        <w:color w:val="5B6770"/>
        <w:sz w:val="16"/>
        <w:szCs w:val="16"/>
      </w:rPr>
      <w:t xml:space="preserve">          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8" w:space="8"/>
      </w:pBdr>
      <w:spacing w:before="80"/>
    </w:pPr>
    <w:r>
      <w:rPr>
        <w:rFonts w:ascii="Arial" w:cs="Arial" w:eastAsia="Arial" w:hAnsi="Arial"/>
        <w:color w:val="5B6770"/>
        <w:sz w:val="16"/>
        <w:szCs w:val="16"/>
      </w:rPr>
      <w:t xml:space="preserve">Confidencial — uso académico</w:t>
    </w:r>
    <w:r>
      <w:rPr>
        <w:rFonts w:ascii="Arial" w:cs="Arial" w:eastAsia="Arial" w:hAnsi="Arial"/>
        <w:color w:val="5B6770"/>
        <w:sz w:val="16"/>
        <w:szCs w:val="16"/>
      </w:rPr>
      <w:t xml:space="preserve">          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8" w:space="8"/>
      </w:pBdr>
      <w:spacing w:before="80"/>
    </w:pPr>
    <w:r>
      <w:rPr>
        <w:rFonts w:ascii="Arial" w:cs="Arial" w:eastAsia="Arial" w:hAnsi="Arial"/>
        <w:color w:val="5B6770"/>
        <w:sz w:val="16"/>
        <w:szCs w:val="16"/>
      </w:rPr>
      <w:t xml:space="preserve">Confidencial — uso académico</w:t>
    </w:r>
    <w:r>
      <w:rPr>
        <w:rFonts w:ascii="Arial" w:cs="Arial" w:eastAsia="Arial" w:hAnsi="Arial"/>
        <w:color w:val="5B6770"/>
        <w:sz w:val="16"/>
        <w:szCs w:val="16"/>
      </w:rPr>
      <w:t xml:space="preserve">          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8" w:space="8"/>
      </w:pBdr>
      <w:spacing w:before="80"/>
    </w:pPr>
    <w:r>
      <w:rPr>
        <w:rFonts w:ascii="Arial" w:cs="Arial" w:eastAsia="Arial" w:hAnsi="Arial"/>
        <w:color w:val="5B6770"/>
        <w:sz w:val="16"/>
        <w:szCs w:val="16"/>
      </w:rPr>
      <w:t xml:space="preserve">Confidencial — uso académico</w:t>
    </w:r>
    <w:r>
      <w:rPr>
        <w:rFonts w:ascii="Arial" w:cs="Arial" w:eastAsia="Arial" w:hAnsi="Arial"/>
        <w:color w:val="5B6770"/>
        <w:sz w:val="16"/>
        <w:szCs w:val="16"/>
      </w:rPr>
      <w:t xml:space="preserve">          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8" w:space="8"/>
      </w:pBdr>
      <w:spacing w:before="80"/>
    </w:pPr>
    <w:r>
      <w:rPr>
        <w:rFonts w:ascii="Arial" w:cs="Arial" w:eastAsia="Arial" w:hAnsi="Arial"/>
        <w:color w:val="5B6770"/>
        <w:sz w:val="16"/>
        <w:szCs w:val="16"/>
      </w:rPr>
      <w:t xml:space="preserve">Confidencial — uso académico</w:t>
    </w:r>
    <w:r>
      <w:rPr>
        <w:rFonts w:ascii="Arial" w:cs="Arial" w:eastAsia="Arial" w:hAnsi="Arial"/>
        <w:color w:val="5B6770"/>
        <w:sz w:val="16"/>
        <w:szCs w:val="16"/>
      </w:rPr>
      <w:t xml:space="preserve">          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8" w:space="8"/>
      </w:pBdr>
      <w:spacing w:before="80"/>
    </w:pPr>
    <w:r>
      <w:rPr>
        <w:rFonts w:ascii="Arial" w:cs="Arial" w:eastAsia="Arial" w:hAnsi="Arial"/>
        <w:color w:val="5B6770"/>
        <w:sz w:val="16"/>
        <w:szCs w:val="16"/>
      </w:rPr>
      <w:t xml:space="preserve">Confidencial — uso académico</w:t>
    </w:r>
    <w:r>
      <w:rPr>
        <w:rFonts w:ascii="Arial" w:cs="Arial" w:eastAsia="Arial" w:hAnsi="Arial"/>
        <w:color w:val="5B6770"/>
        <w:sz w:val="16"/>
        <w:szCs w:val="16"/>
      </w:rPr>
      <w:t xml:space="preserve">          Página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770"/>
        <w:sz w:val="16"/>
        <w:szCs w:val="16"/>
      </w:rPr>
      <w:t xml:space="preserve"> de </w:t>
    </w:r>
    <w:r>
      <w:rPr>
        <w:rFonts w:ascii="Arial" w:cs="Arial" w:eastAsia="Arial" w:hAnsi="Arial"/>
        <w:color w:val="5B677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12" w:space="6"/>
      </w:pBdr>
      <w:spacing w:after="120"/>
    </w:pPr>
    <w:r>
      <w:rPr>
        <w:rFonts w:ascii="Arial" w:cs="Arial" w:eastAsia="Arial" w:hAnsi="Arial"/>
        <w:b/>
        <w:bCs/>
        <w:color w:val="1B365D"/>
        <w:sz w:val="16"/>
        <w:szCs w:val="16"/>
      </w:rPr>
      <w:t xml:space="preserve">ReservaYa  ·  Pruebas integrales</w:t>
    </w:r>
    <w:r>
      <w:rPr>
        <w:rFonts w:ascii="Arial" w:cs="Arial" w:eastAsia="Arial" w:hAnsi="Arial"/>
        <w:color w:val="5B6770"/>
        <w:sz w:val="16"/>
        <w:szCs w:val="16"/>
      </w:rPr>
      <w:t xml:space="preserve">          Curso Integrador II  ·  CMMI VAL / PI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12" w:space="6"/>
      </w:pBdr>
      <w:spacing w:after="120"/>
    </w:pPr>
    <w:r>
      <w:rPr>
        <w:rFonts w:ascii="Arial" w:cs="Arial" w:eastAsia="Arial" w:hAnsi="Arial"/>
        <w:b/>
        <w:bCs/>
        <w:color w:val="1B365D"/>
        <w:sz w:val="16"/>
        <w:szCs w:val="16"/>
      </w:rPr>
      <w:t xml:space="preserve">ReservaYa  ·  Pruebas integrales</w:t>
    </w:r>
    <w:r>
      <w:rPr>
        <w:rFonts w:ascii="Arial" w:cs="Arial" w:eastAsia="Arial" w:hAnsi="Arial"/>
        <w:color w:val="5B6770"/>
        <w:sz w:val="16"/>
        <w:szCs w:val="16"/>
      </w:rPr>
      <w:t xml:space="preserve">          Curso Integrador II  ·  CMMI VAL / PI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12" w:space="6"/>
      </w:pBdr>
      <w:spacing w:after="120"/>
    </w:pPr>
    <w:r>
      <w:rPr>
        <w:rFonts w:ascii="Arial" w:cs="Arial" w:eastAsia="Arial" w:hAnsi="Arial"/>
        <w:b/>
        <w:bCs/>
        <w:color w:val="1B365D"/>
        <w:sz w:val="16"/>
        <w:szCs w:val="16"/>
      </w:rPr>
      <w:t xml:space="preserve">ReservaYa  ·  Pruebas integrales</w:t>
    </w:r>
    <w:r>
      <w:rPr>
        <w:rFonts w:ascii="Arial" w:cs="Arial" w:eastAsia="Arial" w:hAnsi="Arial"/>
        <w:color w:val="5B6770"/>
        <w:sz w:val="16"/>
        <w:szCs w:val="16"/>
      </w:rPr>
      <w:t xml:space="preserve">          Curso Integrador II  ·  CMMI VAL / PI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12" w:space="6"/>
      </w:pBdr>
      <w:spacing w:after="120"/>
    </w:pPr>
    <w:r>
      <w:rPr>
        <w:rFonts w:ascii="Arial" w:cs="Arial" w:eastAsia="Arial" w:hAnsi="Arial"/>
        <w:b/>
        <w:bCs/>
        <w:color w:val="1B365D"/>
        <w:sz w:val="16"/>
        <w:szCs w:val="16"/>
      </w:rPr>
      <w:t xml:space="preserve">ReservaYa  ·  Pruebas integrales</w:t>
    </w:r>
    <w:r>
      <w:rPr>
        <w:rFonts w:ascii="Arial" w:cs="Arial" w:eastAsia="Arial" w:hAnsi="Arial"/>
        <w:color w:val="5B6770"/>
        <w:sz w:val="16"/>
        <w:szCs w:val="16"/>
      </w:rPr>
      <w:t xml:space="preserve">          Curso Integrador II  ·  CMMI VAL / PI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12" w:space="6"/>
      </w:pBdr>
      <w:spacing w:after="120"/>
    </w:pPr>
    <w:r>
      <w:rPr>
        <w:rFonts w:ascii="Arial" w:cs="Arial" w:eastAsia="Arial" w:hAnsi="Arial"/>
        <w:b/>
        <w:bCs/>
        <w:color w:val="1B365D"/>
        <w:sz w:val="16"/>
        <w:szCs w:val="16"/>
      </w:rPr>
      <w:t xml:space="preserve">ReservaYa  ·  Pruebas integrales</w:t>
    </w:r>
    <w:r>
      <w:rPr>
        <w:rFonts w:ascii="Arial" w:cs="Arial" w:eastAsia="Arial" w:hAnsi="Arial"/>
        <w:color w:val="5B6770"/>
        <w:sz w:val="16"/>
        <w:szCs w:val="16"/>
      </w:rPr>
      <w:t xml:space="preserve">          Curso Integrador II  ·  CMMI VAL / PI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12" w:space="6"/>
      </w:pBdr>
      <w:spacing w:after="120"/>
    </w:pPr>
    <w:r>
      <w:rPr>
        <w:rFonts w:ascii="Arial" w:cs="Arial" w:eastAsia="Arial" w:hAnsi="Arial"/>
        <w:b/>
        <w:bCs/>
        <w:color w:val="1B365D"/>
        <w:sz w:val="16"/>
        <w:szCs w:val="16"/>
      </w:rPr>
      <w:t xml:space="preserve">ReservaYa  ·  Pruebas integrales</w:t>
    </w:r>
    <w:r>
      <w:rPr>
        <w:rFonts w:ascii="Arial" w:cs="Arial" w:eastAsia="Arial" w:hAnsi="Arial"/>
        <w:color w:val="5B6770"/>
        <w:sz w:val="16"/>
        <w:szCs w:val="16"/>
      </w:rPr>
      <w:t xml:space="preserve">          Curso Integrador II  ·  CMMI VAL / 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B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B36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2026-09-13T00:09:25.513Z</dcterms:created>
  <dcterms:modified xsi:type="dcterms:W3CDTF">2026-09-13T00:09:25.521Z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