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CADSNET: Changes Needed in Our Paper</w:t>
      </w:r>
    </w:p>
    <w:p>
      <w:pPr>
        <w:spacing w:after="240"/>
      </w:pPr>
      <w:r>
        <w:rPr>
          <w:color w:val="718096"/>
          <w:sz w:val="20"/>
          <w:szCs w:val="20"/>
        </w:rPr>
        <w:t xml:space="preserve">From Jonard · September 2026</w:t>
      </w:r>
    </w:p>
    <w:p>
      <w:pPr>
        <w:spacing w:after="120" w:line="276"/>
      </w:pPr>
      <w:r>
        <w:t xml:space="preserve">I checked our paper against the sources it cites. Some mistakes could be caught by the panel, and a few parts are missing. Everything we need to change is in this file.</w:t>
      </w:r>
    </w:p>
    <w:p>
      <w:pPr>
        <w:pStyle w:val="ListParagraph"/>
        <w:numPr>
          <w:ilvl w:val="0"/>
          <w:numId w:val="2"/>
        </w:numPr>
        <w:spacing w:after="80"/>
      </w:pPr>
      <w:r>
        <w:rPr>
          <w:b/>
          <w:bCs/>
        </w:rPr>
        <w:t xml:space="preserve">Part 1:</w:t>
      </w:r>
      <w:r>
        <w:t xml:space="preserve"> mistakes to fix (the most urgent)</w:t>
      </w:r>
    </w:p>
    <w:p>
      <w:pPr>
        <w:pStyle w:val="ListParagraph"/>
        <w:numPr>
          <w:ilvl w:val="0"/>
          <w:numId w:val="2"/>
        </w:numPr>
        <w:spacing w:after="80"/>
      </w:pPr>
      <w:r>
        <w:rPr>
          <w:b/>
          <w:bCs/>
        </w:rPr>
        <w:t xml:space="preserve">Part 2:</w:t>
      </w:r>
      <w:r>
        <w:t xml:space="preserve"> ready-to-paste replacement text</w:t>
      </w:r>
    </w:p>
    <w:p>
      <w:pPr>
        <w:pStyle w:val="ListParagraph"/>
        <w:numPr>
          <w:ilvl w:val="0"/>
          <w:numId w:val="2"/>
        </w:numPr>
        <w:spacing w:after="80"/>
      </w:pPr>
      <w:r>
        <w:rPr>
          <w:b/>
          <w:bCs/>
        </w:rPr>
        <w:t xml:space="preserve">Part 3:</w:t>
      </w:r>
      <w:r>
        <w:t xml:space="preserve"> parts the paper is missing</w:t>
      </w:r>
    </w:p>
    <w:p>
      <w:pPr>
        <w:pStyle w:val="ListParagraph"/>
        <w:numPr>
          <w:ilvl w:val="0"/>
          <w:numId w:val="2"/>
        </w:numPr>
        <w:spacing w:after="80"/>
      </w:pPr>
      <w:r>
        <w:rPr>
          <w:b/>
          <w:bCs/>
        </w:rPr>
        <w:t xml:space="preserve">Part 4:</w:t>
      </w:r>
      <w:r>
        <w:t xml:space="preserve"> corrected and new references (APA 7)</w:t>
      </w:r>
    </w:p>
    <w:p>
      <w:pPr>
        <w:spacing w:after="120" w:line="276"/>
      </w:pPr>
      <w:r>
        <w:t xml:space="preserve">Please write your name in the </w:t>
      </w:r>
      <w:r>
        <w:rPr>
          <w:b/>
          <w:bCs/>
        </w:rPr>
        <w:t xml:space="preserve">Who</w:t>
      </w:r>
      <w:r>
        <w:t xml:space="preserve"> column for the tasks you take. The game scenarios will be discussed separately; this file is only about the paper.</w:t>
      </w:r>
    </w:p>
    <w:p>
      <w:pPr>
        <w:pStyle w:val="Heading1"/>
        <w:spacing w:after="160" w:before="360"/>
      </w:pPr>
      <w:r>
        <w:t xml:space="preserve">Part 1: Mistakes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900"/>
        <w:gridCol w:w="3500"/>
        <w:gridCol w:w="1500"/>
        <w:gridCol w:w="1100"/>
      </w:tblGrid>
      <w:tr>
        <w:trPr>
          <w:tblHeader/>
        </w:trPr>
        <w:tc>
          <w:tcPr>
            <w:tcW w:type="dxa" w:w="3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 </w:t>
            </w:r>
          </w:p>
        </w:tc>
        <w:tc>
          <w:tcPr>
            <w:tcW w:type="dxa" w:w="29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Problem</w:t>
            </w:r>
          </w:p>
        </w:tc>
        <w:tc>
          <w:tcPr>
            <w:tcW w:type="dxa" w:w="3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Fix</w:t>
            </w:r>
          </w:p>
        </w:tc>
        <w:tc>
          <w:tcPr>
            <w:tcW w:type="dxa" w:w="1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Where</w:t>
            </w:r>
          </w:p>
        </w:tc>
        <w:tc>
          <w:tcPr>
            <w:tcW w:type="dxa" w:w="11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Who</w:t>
            </w: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project is called </w:t>
            </w:r>
            <w:r>
              <w:rPr>
                <w:sz w:val="18"/>
                <w:szCs w:val="18"/>
              </w:rPr>
              <w:t xml:space="preserve">"CyberQuest"</w:t>
            </w:r>
            <w:r>
              <w:rPr>
                <w:sz w:val="18"/>
                <w:szCs w:val="18"/>
              </w:rPr>
              <w:t xml:space="preserve"> in one paragraph.</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Use </w:t>
            </w:r>
            <w:r>
              <w:rPr>
                <w:sz w:val="18"/>
                <w:szCs w:val="18"/>
              </w:rPr>
              <w:t xml:space="preserve">CADSNET</w:t>
            </w:r>
            <w:r>
              <w:rPr>
                <w:sz w:val="18"/>
                <w:szCs w:val="18"/>
              </w:rPr>
              <w:t xml:space="preserve"> everywhere.</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Project Overview</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PHISHGEM has the wrong author.</w:t>
            </w:r>
            <w:r>
              <w:rPr>
                <w:sz w:val="18"/>
                <w:szCs w:val="18"/>
              </w:rPr>
              <w:t xml:space="preserve"> It was written by Tinubu et al., not Arachchilage et al. Its results are also wrong ("over 90%").</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Change to </w:t>
            </w:r>
            <w:r>
              <w:rPr>
                <w:sz w:val="18"/>
                <w:szCs w:val="18"/>
              </w:rPr>
              <w:t xml:space="preserve">Tinubu et al. (2023)</w:t>
            </w:r>
            <w:r>
              <w:rPr>
                <w:sz w:val="18"/>
                <w:szCs w:val="18"/>
              </w:rPr>
              <w:t xml:space="preserve">. Use the corrected paragraph in Part 2.</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Introduction, RRL</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Balmes et al. (2024) cannot be found</w:t>
            </w:r>
            <w:r>
              <w:rPr>
                <w:sz w:val="18"/>
                <w:szCs w:val="18"/>
              </w:rPr>
              <w:t xml:space="preserve"> in any database.</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Find the actual source. If we can't produce it, remove it. A study that matches the description (Grade 4 learners in Davao City, r = 0.685) is </w:t>
            </w:r>
            <w:r>
              <w:rPr>
                <w:sz w:val="18"/>
                <w:szCs w:val="18"/>
              </w:rPr>
              <w:t xml:space="preserve">Manalo &amp; Gallardo (2024)</w:t>
            </w:r>
            <w:r>
              <w:rPr>
                <w:sz w:val="18"/>
                <w:szCs w:val="18"/>
              </w:rPr>
              <w:t xml:space="preserve">; check if that's the one we meant.</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Introduction, RRL</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Three sources are cited </w:t>
            </w:r>
            <w:r>
              <w:rPr>
                <w:sz w:val="18"/>
                <w:szCs w:val="18"/>
              </w:rPr>
              <w:t xml:space="preserve">by title or school</w:t>
            </w:r>
            <w:r>
              <w:rPr>
                <w:sz w:val="18"/>
                <w:szCs w:val="18"/>
              </w:rPr>
              <w:t xml:space="preserve"> instead of author.</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"Enhancing Cybersecurity Awareness Training through the NIST Framework (2023)" → </w:t>
            </w:r>
            <w:r>
              <w:rPr>
                <w:sz w:val="18"/>
                <w:szCs w:val="18"/>
              </w:rPr>
              <w:t xml:space="preserve">Nair (2023)</w:t>
            </w:r>
          </w:p>
          <w:p>
            <w:r>
              <w:rPr>
                <w:sz w:val="18"/>
                <w:szCs w:val="18"/>
              </w:rPr>
              <w:t xml:space="preserve">"Catanduanes State University (2025)" → </w:t>
            </w:r>
            <w:r>
              <w:rPr>
                <w:sz w:val="18"/>
                <w:szCs w:val="18"/>
              </w:rPr>
              <w:t xml:space="preserve">Santelices (2025)</w:t>
            </w:r>
          </w:p>
          <w:p>
            <w:r>
              <w:rPr>
                <w:sz w:val="18"/>
                <w:szCs w:val="18"/>
              </w:rPr>
              <w:t xml:space="preserve">"Cyber Security Educational Games for Children (2025)" → </w:t>
            </w:r>
            <w:r>
              <w:rPr>
                <w:sz w:val="18"/>
                <w:szCs w:val="18"/>
              </w:rPr>
              <w:t xml:space="preserve">Damenu et al. (2025)</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Introduction, RRL</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Weeratunge &amp; Hjelsvold has the </w:t>
            </w:r>
            <w:r>
              <w:rPr>
                <w:sz w:val="18"/>
                <w:szCs w:val="18"/>
              </w:rPr>
              <w:t xml:space="preserve">wrong year</w:t>
            </w:r>
            <w:r>
              <w:rPr>
                <w:sz w:val="18"/>
                <w:szCs w:val="18"/>
              </w:rPr>
              <w:t xml:space="preserve">.</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Change </w:t>
            </w:r>
            <w:r>
              <w:rPr>
                <w:sz w:val="18"/>
                <w:szCs w:val="18"/>
              </w:rPr>
              <w:t xml:space="preserve">2024 → 2025</w:t>
            </w:r>
            <w:r>
              <w:rPr>
                <w:sz w:val="18"/>
                <w:szCs w:val="18"/>
              </w:rPr>
              <w:t xml:space="preserve">. Use the corrected paragraph in Part 2.</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children's games review is described as saying game-based learning is "one of the most effective approaches." It doesn't say that; it also criticizes many of the games. It is also a preprint (not peer-reviewed).</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Use the corrected paragraph in Part 2.</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 (Foreign)</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Santelices (2025): r = 0.670 is between cybersecurity </w:t>
            </w:r>
            <w:r>
              <w:rPr>
                <w:sz w:val="18"/>
                <w:szCs w:val="18"/>
              </w:rPr>
              <w:t xml:space="preserve">education and awareness</w:t>
            </w:r>
            <w:r>
              <w:rPr>
                <w:sz w:val="18"/>
                <w:szCs w:val="18"/>
              </w:rPr>
              <w:t xml:space="preserve">, not "protective behavior."</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Reword: "…a strong positive correlation (r = 0.670) between cybersecurity education and awareness among students."</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 (Local)</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Tuscano (2024): the claim that "awareness alone does not translate into secure behavior" is not in the study's summary.</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Check the full paper. If it isn't there, remove that sentence. Confirmed findings: SHS students in Tanza, Cavite had a </w:t>
            </w:r>
            <w:r>
              <w:rPr>
                <w:sz w:val="18"/>
                <w:szCs w:val="18"/>
              </w:rPr>
              <w:t xml:space="preserve">medium</w:t>
            </w:r>
            <w:r>
              <w:rPr>
                <w:sz w:val="18"/>
                <w:szCs w:val="18"/>
              </w:rPr>
              <w:t xml:space="preserve"> level of awareness.</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 (Local)</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Pappas et al. (2020): "timers, scoring systems, and leaderboards" is not confirmed in the paper's summary.</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Check the full paper, or keep only what is confirmed: a first-person 3D game made in Unity.</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 (Foreign)</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Moumouh et al. (2025) studied games for </w:t>
            </w:r>
            <w:r>
              <w:rPr>
                <w:sz w:val="18"/>
                <w:szCs w:val="18"/>
              </w:rPr>
              <w:t xml:space="preserve">professionals/employees</w:t>
            </w:r>
            <w:r>
              <w:rPr>
                <w:sz w:val="18"/>
                <w:szCs w:val="18"/>
              </w:rPr>
              <w:t xml:space="preserve">, not students.</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Add "among professionals" when citing it.</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 (Foreign)</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NIST framework is described as having </w:t>
            </w:r>
            <w:r>
              <w:rPr>
                <w:sz w:val="18"/>
                <w:szCs w:val="18"/>
              </w:rPr>
              <w:t xml:space="preserve">five</w:t>
            </w:r>
            <w:r>
              <w:rPr>
                <w:sz w:val="18"/>
                <w:szCs w:val="18"/>
              </w:rPr>
              <w:t xml:space="preserve"> functions.</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Since 2024 (CSF 2.0) it has </w:t>
            </w:r>
            <w:r>
              <w:rPr>
                <w:sz w:val="18"/>
                <w:szCs w:val="18"/>
              </w:rPr>
              <w:t xml:space="preserve">six</w:t>
            </w:r>
            <w:r>
              <w:rPr>
                <w:sz w:val="18"/>
                <w:szCs w:val="18"/>
              </w:rPr>
              <w:t xml:space="preserve">: Govern was added. See Part 2.</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RRL (Foreign)</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Human Resources lists </w:t>
            </w:r>
            <w:r>
              <w:rPr>
                <w:sz w:val="18"/>
                <w:szCs w:val="18"/>
              </w:rPr>
              <w:t xml:space="preserve">React, React Native, Node.js, Express.js and MongoDB</w:t>
            </w:r>
            <w:r>
              <w:rPr>
                <w:sz w:val="18"/>
                <w:szCs w:val="18"/>
              </w:rPr>
              <w:t xml:space="preserve">. We don't use any of these.</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Replace with the roles in Part 2.</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Resources</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Scope says the game is set "in school and at home."</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Change to "</w:t>
            </w:r>
            <w:r>
              <w:rPr>
                <w:sz w:val="18"/>
                <w:szCs w:val="18"/>
              </w:rPr>
              <w:t xml:space="preserve">at home, around the city, and online</w:t>
            </w:r>
            <w:r>
              <w:rPr>
                <w:sz w:val="18"/>
                <w:szCs w:val="18"/>
              </w:rPr>
              <w:t xml:space="preserve">."</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Purpose and Description</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scams</w:t>
            </w:r>
            <w:r>
              <w:rPr>
                <w:sz w:val="18"/>
                <w:szCs w:val="18"/>
              </w:rPr>
              <w:t xml:space="preserve"> are the #1 cybercrime in the Philippines, but the Scope and Specific Objective 3 don't list them.</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Add "</w:t>
            </w:r>
            <w:r>
              <w:rPr>
                <w:sz w:val="18"/>
                <w:szCs w:val="18"/>
              </w:rPr>
              <w:t xml:space="preserve">online scams</w:t>
            </w:r>
            <w:r>
              <w:rPr>
                <w:sz w:val="18"/>
                <w:szCs w:val="18"/>
              </w:rPr>
              <w:t xml:space="preserve">" to the list of threats.</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Scope, Specific Objective 3</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game is for Android, but the hardware list only has a computer, keyboard and mouse.</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Add "</w:t>
            </w:r>
            <w:r>
              <w:rPr>
                <w:sz w:val="18"/>
                <w:szCs w:val="18"/>
              </w:rPr>
              <w:t xml:space="preserve">Android smartphone</w:t>
            </w:r>
            <w:r>
              <w:rPr>
                <w:sz w:val="18"/>
                <w:szCs w:val="18"/>
              </w:rPr>
              <w:t xml:space="preserve"> (for testing)."</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Hardware Requirement</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ISO 25010 table mentions </w:t>
            </w:r>
            <w:r>
              <w:rPr>
                <w:sz w:val="18"/>
                <w:szCs w:val="18"/>
              </w:rPr>
              <w:t xml:space="preserve">"lessons" and "quizzes"</w:t>
            </w:r>
            <w:r>
              <w:rPr>
                <w:sz w:val="18"/>
                <w:szCs w:val="18"/>
              </w:rPr>
              <w:t xml:space="preserve"> (we don't have these) and says the game </w:t>
            </w:r>
            <w:r>
              <w:rPr>
                <w:sz w:val="18"/>
                <w:szCs w:val="18"/>
              </w:rPr>
              <w:t xml:space="preserve">"works with web browsers"</w:t>
            </w:r>
            <w:r>
              <w:rPr>
                <w:sz w:val="18"/>
                <w:szCs w:val="18"/>
              </w:rPr>
              <w:t xml:space="preserve"> (it doesn't).</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Replace "lessons, quizzes" with "cybersecurity scenarios, feedback, and the awareness score." Remove the web browser claim from Interoperability.</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ISO 25010 table</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 ISO 25010 table does not name the version and is missing </w:t>
            </w:r>
            <w:r>
              <w:rPr>
                <w:sz w:val="18"/>
                <w:szCs w:val="18"/>
              </w:rPr>
              <w:t xml:space="preserve">Portability</w:t>
            </w:r>
            <w:r>
              <w:rPr>
                <w:sz w:val="18"/>
                <w:szCs w:val="18"/>
              </w:rPr>
              <w:t xml:space="preserve">, even though we're building for Android.</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Write "ISO/IEC 25010:2011" and add a </w:t>
            </w:r>
            <w:r>
              <w:rPr>
                <w:sz w:val="18"/>
                <w:szCs w:val="18"/>
              </w:rPr>
              <w:t xml:space="preserve">Portability</w:t>
            </w:r>
            <w:r>
              <w:rPr>
                <w:sz w:val="18"/>
                <w:szCs w:val="18"/>
              </w:rPr>
              <w:t xml:space="preserve"> row (Adaptability, Installability).</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ISO 25010 table</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r>
        <w:tc>
          <w:tcPr>
            <w:tcW w:type="dxa" w:w="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w:t>
            </w:r>
          </w:p>
        </w:tc>
        <w:tc>
          <w:tcPr>
            <w:tcW w:type="dxa" w:w="29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There is no reference list.</w:t>
            </w:r>
          </w:p>
        </w:tc>
        <w:tc>
          <w:tcPr>
            <w:tcW w:type="dxa" w:w="3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Add one at the end. See Part 4.</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End of paper</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tc>
      </w:tr>
    </w:tbl>
    <w:p>
      <w:pPr>
        <w:pStyle w:val="Heading1"/>
        <w:spacing w:after="160" w:before="360"/>
      </w:pPr>
      <w:r>
        <w:t xml:space="preserve">Part 2: Replacement text</w:t>
      </w:r>
    </w:p>
    <w:p>
      <w:pPr>
        <w:spacing w:after="120" w:line="276"/>
      </w:pPr>
      <w:r>
        <w:t xml:space="preserve">Copy these directly into the paper.</w:t>
      </w:r>
    </w:p>
    <w:p>
      <w:pPr>
        <w:pStyle w:val="Heading2"/>
        <w:spacing w:after="120" w:before="240"/>
      </w:pPr>
      <w:r>
        <w:t xml:space="preserve">PHISHGEM paragraph (RRL, Foreign)</w:t>
      </w:r>
    </w:p>
    <w:p>
      <w:pPr>
        <w:spacing w:after="120" w:line="276"/>
      </w:pPr>
      <w:r>
        <w:t xml:space="preserve">Tinubu et al. (2023) developed PHISHGEM, a mobile game-based learning application that teaches five phishing techniques: URL manipulation, email spoofing, website cloning, smishing, and social media attacks. In a user study with 100 participants, PHISHGEM reached a 98% awareness level, 94% perceived ease of use, and 94% new knowledge acquired. This supports CADSNET's use of realistic, mobile-based phishing scenarios.</w:t>
      </w:r>
    </w:p>
    <w:p>
      <w:pPr>
        <w:spacing w:after="120" w:line="276"/>
      </w:pPr>
      <w:r>
        <w:rPr>
          <w:i/>
          <w:iCs/>
        </w:rPr>
        <w:t xml:space="preserve">In the Introduction, change "(… Arachchilage et al., 2023)" to "(… Tinubu et al., 2023)".</w:t>
      </w:r>
    </w:p>
    <w:p>
      <w:pPr>
        <w:pStyle w:val="Heading2"/>
        <w:spacing w:after="120" w:before="240"/>
      </w:pPr>
      <w:r>
        <w:t xml:space="preserve">Children's games review (RRL, Foreign)</w:t>
      </w:r>
    </w:p>
    <w:p>
      <w:pPr>
        <w:spacing w:after="120" w:line="276"/>
      </w:pPr>
      <w:r>
        <w:t xml:space="preserve">Damenu et al. (2025) reviewed 91 cybersecurity educational games described in 68 papers published from 2010 to 2024 and found generally positive learning outcomes. They also noted weaknesses: few games followed a systematic design process, few evaluations used control groups, and intended learning outcomes were not always achieved. CADSNET addresses these by basing its scenarios on published data and official guidance, and by measuring learning with a pre-test and post-test.</w:t>
      </w:r>
    </w:p>
    <w:p>
      <w:pPr>
        <w:pStyle w:val="Heading2"/>
        <w:spacing w:after="120" w:before="240"/>
      </w:pPr>
      <w:r>
        <w:t xml:space="preserve">In-game feedback (RRL, Foreign)</w:t>
      </w:r>
    </w:p>
    <w:p>
      <w:pPr>
        <w:spacing w:after="120" w:line="276"/>
      </w:pPr>
      <w:r>
        <w:t xml:space="preserve">Weeratunge and Hjelsvold (2025) added confirmatory, explanatory, affirming, and personalized feedback to </w:t>
      </w:r>
      <w:r>
        <w:rPr>
          <w:i/>
          <w:iCs/>
        </w:rPr>
        <w:t xml:space="preserve">The XSS Game</w:t>
      </w:r>
      <w:r>
        <w:t xml:space="preserve">, a role-playing game that teaches cross-site scripting to undergraduate students, to support reflection and self-regulation. This supports CADSNET's end-of-chapter results screen, which explains the consequence of every decision the player made.</w:t>
      </w:r>
    </w:p>
    <w:p>
      <w:pPr>
        <w:pStyle w:val="Heading2"/>
        <w:spacing w:after="120" w:before="240"/>
      </w:pPr>
      <w:r>
        <w:t xml:space="preserve">NIST framework sentence (RRL, Foreign)</w:t>
      </w:r>
    </w:p>
    <w:p>
      <w:pPr>
        <w:spacing w:after="120" w:line="276"/>
      </w:pPr>
      <w:r>
        <w:t xml:space="preserve">Replace "…which includes the functions Identify, Protect, Detect, Respond, and Recover…" with: "…the NIST Cybersecurity Framework, whose functions are Identify, Protect, Detect, Respond, and Recover, with a sixth function, Govern, added in version 2.0 (NIST, 2024)…"</w:t>
      </w:r>
    </w:p>
    <w:p>
      <w:pPr>
        <w:pStyle w:val="Heading2"/>
        <w:spacing w:after="120" w:before="240"/>
      </w:pPr>
      <w:r>
        <w:t xml:space="preserve">Human Resources (Resources)</w:t>
      </w:r>
    </w:p>
    <w:p>
      <w:pPr>
        <w:pStyle w:val="ListParagraph"/>
        <w:numPr>
          <w:ilvl w:val="0"/>
          <w:numId w:val="2"/>
        </w:numPr>
        <w:spacing w:after="80"/>
      </w:pPr>
      <w:r>
        <w:rPr>
          <w:b/>
          <w:bCs/>
        </w:rPr>
        <w:t xml:space="preserve">Project Manager:</w:t>
      </w:r>
      <w:r>
        <w:t xml:space="preserve"> plans and schedules the work, coordinates the team, and makes sure the project meets its objectives.</w:t>
      </w:r>
    </w:p>
    <w:p>
      <w:pPr>
        <w:pStyle w:val="ListParagraph"/>
        <w:numPr>
          <w:ilvl w:val="0"/>
          <w:numId w:val="2"/>
        </w:numPr>
        <w:spacing w:after="80"/>
      </w:pPr>
      <w:r>
        <w:rPr>
          <w:b/>
          <w:bCs/>
        </w:rPr>
        <w:t xml:space="preserve">Game Developer (C#, Unity):</w:t>
      </w:r>
      <w:r>
        <w:t xml:space="preserve"> builds the gameplay systems, including player movement, interactions, the phone and laptop screens, scenario logic, scoring, and saving.</w:t>
      </w:r>
    </w:p>
    <w:p>
      <w:pPr>
        <w:pStyle w:val="ListParagraph"/>
        <w:numPr>
          <w:ilvl w:val="0"/>
          <w:numId w:val="2"/>
        </w:numPr>
        <w:spacing w:after="80"/>
      </w:pPr>
      <w:r>
        <w:rPr>
          <w:b/>
          <w:bCs/>
        </w:rPr>
        <w:t xml:space="preserve">3D Environment and Asset Artist:</w:t>
      </w:r>
      <w:r>
        <w:t xml:space="preserve"> builds the home, city, and café environments, characters, and props in Unity and Blender.</w:t>
      </w:r>
    </w:p>
    <w:p>
      <w:pPr>
        <w:pStyle w:val="ListParagraph"/>
        <w:numPr>
          <w:ilvl w:val="0"/>
          <w:numId w:val="2"/>
        </w:numPr>
        <w:spacing w:after="80"/>
      </w:pPr>
      <w:r>
        <w:rPr>
          <w:b/>
          <w:bCs/>
        </w:rPr>
        <w:t xml:space="preserve">UI/UX Designer:</w:t>
      </w:r>
      <w:r>
        <w:t xml:space="preserve"> designs the menus, in-game phone and laptop screens, objective display, and results screen.</w:t>
      </w:r>
    </w:p>
    <w:p>
      <w:pPr>
        <w:pStyle w:val="ListParagraph"/>
        <w:numPr>
          <w:ilvl w:val="0"/>
          <w:numId w:val="2"/>
        </w:numPr>
        <w:spacing w:after="80"/>
      </w:pPr>
      <w:r>
        <w:rPr>
          <w:b/>
          <w:bCs/>
        </w:rPr>
        <w:t xml:space="preserve">Content and Research Specialist:</w:t>
      </w:r>
      <w:r>
        <w:t xml:space="preserve"> writes each scenario, checks it against published sources, and prepares the pre-test and post-test.</w:t>
      </w:r>
    </w:p>
    <w:p>
      <w:pPr>
        <w:pStyle w:val="ListParagraph"/>
        <w:numPr>
          <w:ilvl w:val="0"/>
          <w:numId w:val="2"/>
        </w:numPr>
        <w:spacing w:after="80"/>
      </w:pPr>
      <w:r>
        <w:rPr>
          <w:b/>
          <w:bCs/>
        </w:rPr>
        <w:t xml:space="preserve">Quality Assurance Tester:</w:t>
      </w:r>
      <w:r>
        <w:t xml:space="preserve"> plays through the game on PC and Android and records bugs.</w:t>
      </w:r>
    </w:p>
    <w:p>
      <w:pPr>
        <w:pStyle w:val="Heading2"/>
        <w:spacing w:after="120" w:before="240"/>
      </w:pPr>
      <w:r>
        <w:t xml:space="preserve">Specific Objective 1</w:t>
      </w:r>
    </w:p>
    <w:p>
      <w:pPr>
        <w:spacing w:after="120" w:line="276"/>
      </w:pPr>
      <w:r>
        <w:t xml:space="preserve">"To design realistic cybersecurity scenarios based on threats most frequently reported by Philippine authorities (PNP-ACG, CICC, DICT) and international sources (FBI IC3, Verizon DBIR), with the correct response to each based on official guidance (CISA, FTC, NIST, e-wallet providers)."</w:t>
      </w:r>
    </w:p>
    <w:p>
      <w:pPr>
        <w:pStyle w:val="Heading1"/>
        <w:spacing w:after="160" w:before="360"/>
      </w:pPr>
      <w:r>
        <w:t xml:space="preserve">Part 3: What the paper is missing</w:t>
      </w:r>
    </w:p>
    <w:p>
      <w:pPr>
        <w:spacing w:after="120" w:line="276"/>
      </w:pPr>
      <w:r>
        <w:t xml:space="preserve">Our Specific Objective 1 says the scenarios are "based on commonly reported digital threats." Right now </w:t>
      </w:r>
      <w:r>
        <w:rPr>
          <w:b/>
          <w:bCs/>
        </w:rPr>
        <w:t xml:space="preserve">nothing in the paper proves which threats are commonly reported</w:t>
      </w:r>
      <w:r>
        <w:t xml:space="preserve">: our RRL only has studies about students' awareness. These are the parts we need to add.</w:t>
      </w:r>
    </w:p>
    <w:p>
      <w:pPr>
        <w:pStyle w:val="Heading2"/>
        <w:spacing w:after="120" w:before="240"/>
      </w:pPr>
      <w:r>
        <w:t xml:space="preserve">3.1 Evidence base (most important)</w:t>
      </w:r>
    </w:p>
    <w:p>
      <w:pPr>
        <w:spacing w:after="120" w:line="276"/>
      </w:pPr>
      <w:r>
        <w:t xml:space="preserve">A new subsection, in the RRL or Methodology, with the statistics below. It proves which threats are common, which is what Objective 1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Source</w:t>
            </w:r>
          </w:p>
        </w:tc>
        <w:tc>
          <w:tcPr>
            <w:tcW w:type="dxa" w:w="636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b/>
                <w:bCs/>
                <w:color w:val="FFFFFF"/>
                <w:sz w:val="18"/>
                <w:szCs w:val="18"/>
              </w:rPr>
              <w:t xml:space="preserve">Finding we can cite</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DICT (2025)</w:t>
            </w:r>
            <w:r>
              <w:rPr>
                <w:sz w:val="18"/>
                <w:szCs w:val="18"/>
              </w:rPr>
              <w:t xml:space="preserve">: briefer using PNP-ACG data</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scams (swindling/estafa) were the #1 cyber complaint in the Philippines: </w:t>
            </w:r>
            <w:r>
              <w:rPr>
                <w:sz w:val="18"/>
                <w:szCs w:val="18"/>
              </w:rPr>
              <w:t xml:space="preserve">54%</w:t>
            </w:r>
            <w:r>
              <w:rPr>
                <w:sz w:val="18"/>
                <w:szCs w:val="18"/>
              </w:rPr>
              <w:t xml:space="preserve"> of 21,300 complaints in 2023 and </w:t>
            </w:r>
            <w:r>
              <w:rPr>
                <w:sz w:val="18"/>
                <w:szCs w:val="18"/>
              </w:rPr>
              <w:t xml:space="preserve">44%</w:t>
            </w:r>
            <w:r>
              <w:rPr>
                <w:sz w:val="18"/>
                <w:szCs w:val="18"/>
              </w:rPr>
              <w:t xml:space="preserve"> of 14,531 in 2024. Illegal access (account hacking) was #2 (</w:t>
            </w:r>
            <w:r>
              <w:rPr>
                <w:sz w:val="18"/>
                <w:szCs w:val="18"/>
              </w:rPr>
              <w:t xml:space="preserve">16%</w:t>
            </w:r>
            <w:r>
              <w:rPr>
                <w:sz w:val="18"/>
                <w:szCs w:val="18"/>
              </w:rPr>
              <w:t xml:space="preserve"> and </w:t>
            </w:r>
            <w:r>
              <w:rPr>
                <w:sz w:val="18"/>
                <w:szCs w:val="18"/>
              </w:rPr>
              <w:t xml:space="preserve">17%</w:t>
            </w:r>
            <w:r>
              <w:rPr>
                <w:sz w:val="18"/>
                <w:szCs w:val="18"/>
              </w:rPr>
              <w:t xml:space="preserve">). Computer-related identity theft was </w:t>
            </w:r>
            <w:r>
              <w:rPr>
                <w:sz w:val="18"/>
                <w:szCs w:val="18"/>
              </w:rPr>
              <w:t xml:space="preserve">9%</w:t>
            </w:r>
            <w:r>
              <w:rPr>
                <w:sz w:val="18"/>
                <w:szCs w:val="18"/>
              </w:rPr>
              <w:t xml:space="preserve"> in 2024.</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Caliwan (2026)</w:t>
            </w:r>
            <w:r>
              <w:rPr>
                <w:sz w:val="18"/>
                <w:szCs w:val="18"/>
              </w:rPr>
              <w:t xml:space="preserve">, PNA: PNP-ACG data</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Online selling scams are "consistently the most common cybercrime modus": </w:t>
            </w:r>
            <w:r>
              <w:rPr>
                <w:sz w:val="18"/>
                <w:szCs w:val="18"/>
              </w:rPr>
              <w:t xml:space="preserve">3,025</w:t>
            </w:r>
            <w:r>
              <w:rPr>
                <w:sz w:val="18"/>
                <w:szCs w:val="18"/>
              </w:rPr>
              <w:t xml:space="preserve"> cases in 2024 and </w:t>
            </w:r>
            <w:r>
              <w:rPr>
                <w:sz w:val="18"/>
                <w:szCs w:val="18"/>
              </w:rPr>
              <w:t xml:space="preserve">1,525</w:t>
            </w:r>
            <w:r>
              <w:rPr>
                <w:sz w:val="18"/>
                <w:szCs w:val="18"/>
              </w:rPr>
              <w:t xml:space="preserve"> in 2025.</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Dela Cruz (2025)</w:t>
            </w:r>
            <w:r>
              <w:rPr>
                <w:sz w:val="18"/>
                <w:szCs w:val="18"/>
              </w:rPr>
              <w:t xml:space="preserve">, PNA: CICC data</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10,004</w:t>
            </w:r>
            <w:r>
              <w:rPr>
                <w:sz w:val="18"/>
                <w:szCs w:val="18"/>
              </w:rPr>
              <w:t xml:space="preserve"> cybercrime complaints in 2024, three times 2023. Consumer fraud 35%, online fraud 32%. E-wallet users had the highest losses (</w:t>
            </w:r>
            <w:r>
              <w:rPr>
                <w:sz w:val="18"/>
                <w:szCs w:val="18"/>
              </w:rPr>
              <w:t xml:space="preserve">₱76.49 million</w:t>
            </w:r>
            <w:r>
              <w:rPr>
                <w:sz w:val="18"/>
                <w:szCs w:val="18"/>
              </w:rPr>
              <w:t xml:space="preserve">).</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FBI (2025, 2026)</w:t>
            </w:r>
            <w:r>
              <w:rPr>
                <w:sz w:val="18"/>
                <w:szCs w:val="18"/>
              </w:rPr>
              <w:t xml:space="preserve">: IC3 reports</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Phishing/spoofing was the </w:t>
            </w:r>
            <w:r>
              <w:rPr>
                <w:sz w:val="18"/>
                <w:szCs w:val="18"/>
              </w:rPr>
              <w:t xml:space="preserve">#1</w:t>
            </w:r>
            <w:r>
              <w:rPr>
                <w:sz w:val="18"/>
                <w:szCs w:val="18"/>
              </w:rPr>
              <w:t xml:space="preserve"> most reported cybercrime in both 2024 (193,407 complaints) and 2025.</w:t>
            </w:r>
          </w:p>
        </w:tc>
      </w:tr>
      <w:tr>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Verizon (2025, 2026)</w:t>
            </w:r>
            <w:r>
              <w:rPr>
                <w:sz w:val="18"/>
                <w:szCs w:val="18"/>
              </w:rPr>
              <w:t xml:space="preserve">: DBIR</w:t>
            </w:r>
          </w:p>
        </w:tc>
        <w:tc>
          <w:tcPr>
            <w:tcW w:type="dxa" w:w="636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sz w:val="18"/>
                <w:szCs w:val="18"/>
              </w:rPr>
              <w:t xml:space="preserve">Stolen passwords were the #1 way attackers got in (</w:t>
            </w:r>
            <w:r>
              <w:rPr>
                <w:sz w:val="18"/>
                <w:szCs w:val="18"/>
              </w:rPr>
              <w:t xml:space="preserve">22%</w:t>
            </w:r>
            <w:r>
              <w:rPr>
                <w:sz w:val="18"/>
                <w:szCs w:val="18"/>
              </w:rPr>
              <w:t xml:space="preserve"> of breaches, 2025). Scams by text message and phone call succeed </w:t>
            </w:r>
            <w:r>
              <w:rPr>
                <w:sz w:val="18"/>
                <w:szCs w:val="18"/>
              </w:rPr>
              <w:t xml:space="preserve">40%</w:t>
            </w:r>
            <w:r>
              <w:rPr>
                <w:sz w:val="18"/>
                <w:szCs w:val="18"/>
              </w:rPr>
              <w:t xml:space="preserve"> more often than email phishing (2026).</w:t>
            </w:r>
          </w:p>
        </w:tc>
      </w:tr>
    </w:tbl>
    <w:p>
      <w:pPr>
        <w:spacing w:after="80"/>
      </w:pPr>
    </w:p>
    <w:p>
      <w:pPr>
        <w:spacing w:after="120" w:line="276"/>
      </w:pPr>
      <w:r>
        <w:rPr>
          <w:b/>
          <w:bCs/>
        </w:rPr>
        <w:t xml:space="preserve">Rule:</w:t>
      </w:r>
      <w:r>
        <w:t xml:space="preserve"> cite each number with its own source, and never add numbers from different sources together (the agencies count differently).</w:t>
      </w:r>
    </w:p>
    <w:p>
      <w:pPr>
        <w:pStyle w:val="Heading2"/>
        <w:spacing w:after="120" w:before="240"/>
      </w:pPr>
      <w:r>
        <w:t xml:space="preserve">3.2 Philippine laws</w:t>
      </w:r>
    </w:p>
    <w:p>
      <w:pPr>
        <w:spacing w:after="120" w:line="276"/>
      </w:pPr>
      <w:r>
        <w:t xml:space="preserve">A short paragraph showing that these acts are crimes under Philippine law:</w:t>
      </w:r>
    </w:p>
    <w:p>
      <w:pPr>
        <w:pStyle w:val="ListParagraph"/>
        <w:numPr>
          <w:ilvl w:val="0"/>
          <w:numId w:val="2"/>
        </w:numPr>
        <w:spacing w:after="80"/>
      </w:pPr>
      <w:r>
        <w:rPr>
          <w:b/>
          <w:bCs/>
        </w:rPr>
        <w:t xml:space="preserve">RA 10175, Cybercrime Prevention Act of 2012:</w:t>
      </w:r>
      <w:r>
        <w:t xml:space="preserve"> illegal access, computer-related fraud, and identity theft</w:t>
      </w:r>
    </w:p>
    <w:p>
      <w:pPr>
        <w:pStyle w:val="ListParagraph"/>
        <w:numPr>
          <w:ilvl w:val="0"/>
          <w:numId w:val="2"/>
        </w:numPr>
        <w:spacing w:after="80"/>
      </w:pPr>
      <w:r>
        <w:rPr>
          <w:b/>
          <w:bCs/>
        </w:rPr>
        <w:t xml:space="preserve">RA 12010, Anti-Financial Account Scamming Act (2024):</w:t>
      </w:r>
      <w:r>
        <w:t xml:space="preserve"> social engineering schemes that steal passwords or OTPs, and "money mules"</w:t>
      </w:r>
    </w:p>
    <w:p>
      <w:pPr>
        <w:pStyle w:val="ListParagraph"/>
        <w:numPr>
          <w:ilvl w:val="0"/>
          <w:numId w:val="2"/>
        </w:numPr>
        <w:spacing w:after="80"/>
      </w:pPr>
      <w:r>
        <w:rPr>
          <w:b/>
          <w:bCs/>
        </w:rPr>
        <w:t xml:space="preserve">RA 10173, Data Privacy Act of 2012:</w:t>
      </w:r>
      <w:r>
        <w:t xml:space="preserve"> applies to our own survey and test data from students (consent and anonymity)</w:t>
      </w:r>
    </w:p>
    <w:p>
      <w:pPr>
        <w:pStyle w:val="Heading2"/>
        <w:spacing w:after="120" w:before="240"/>
      </w:pPr>
      <w:r>
        <w:t xml:space="preserve">3.3 Scenario section (after the group finalizes the scenarios)</w:t>
      </w:r>
    </w:p>
    <w:p>
      <w:pPr>
        <w:spacing w:after="120" w:line="276"/>
      </w:pPr>
      <w:r>
        <w:t xml:space="preserve">The paper lists threat types (phishing, malware…) but never says </w:t>
      </w:r>
      <w:r>
        <w:rPr>
          <w:b/>
          <w:bCs/>
        </w:rPr>
        <w:t xml:space="preserve">what the player actually does</w:t>
      </w:r>
      <w:r>
        <w:t xml:space="preserve">. Once we agree on the scenarios, add a section describing each one, with the source showing the threat is common and the official source for the correct action.</w:t>
      </w:r>
    </w:p>
    <w:p>
      <w:pPr>
        <w:pStyle w:val="Heading2"/>
        <w:spacing w:after="120" w:before="240"/>
      </w:pPr>
      <w:r>
        <w:t xml:space="preserve">3.4 Evaluation procedure</w:t>
      </w:r>
    </w:p>
    <w:p>
      <w:pPr>
        <w:spacing w:after="120" w:line="276"/>
      </w:pPr>
      <w:r>
        <w:t xml:space="preserve">Objective 5 mentions a pre-test and post-test, but the paper doesn't explain how. Add:</w:t>
      </w:r>
    </w:p>
    <w:p>
      <w:pPr>
        <w:pStyle w:val="ListParagraph"/>
        <w:numPr>
          <w:ilvl w:val="0"/>
          <w:numId w:val="2"/>
        </w:numPr>
        <w:spacing w:after="80"/>
      </w:pPr>
      <w:r>
        <w:rPr>
          <w:b/>
          <w:bCs/>
        </w:rPr>
        <w:t xml:space="preserve">Design:</w:t>
      </w:r>
      <w:r>
        <w:t xml:space="preserve"> one-group pre-test–post-test (the same students take a test before and after playing).</w:t>
      </w:r>
    </w:p>
    <w:p>
      <w:pPr>
        <w:pStyle w:val="ListParagraph"/>
        <w:numPr>
          <w:ilvl w:val="0"/>
          <w:numId w:val="2"/>
        </w:numPr>
        <w:spacing w:after="80"/>
      </w:pPr>
      <w:r>
        <w:rPr>
          <w:b/>
          <w:bCs/>
        </w:rPr>
        <w:t xml:space="preserve">Respondents:</w:t>
      </w:r>
      <w:r>
        <w:t xml:space="preserve"> how many SHS students, from which school, how they are chosen (purposive sampling), and parental consent for minors.</w:t>
      </w:r>
    </w:p>
    <w:p>
      <w:pPr>
        <w:pStyle w:val="ListParagraph"/>
        <w:numPr>
          <w:ilvl w:val="0"/>
          <w:numId w:val="2"/>
        </w:numPr>
        <w:spacing w:after="80"/>
      </w:pPr>
      <w:r>
        <w:rPr>
          <w:b/>
          <w:bCs/>
        </w:rPr>
        <w:t xml:space="preserve">Instrument:</w:t>
      </w:r>
      <w:r>
        <w:t xml:space="preserve"> a multiple-choice test with the same number of questions for each topic, checked by IT faculty and tried on a small group first.</w:t>
      </w:r>
    </w:p>
    <w:p>
      <w:pPr>
        <w:pStyle w:val="ListParagraph"/>
        <w:numPr>
          <w:ilvl w:val="0"/>
          <w:numId w:val="2"/>
        </w:numPr>
        <w:spacing w:after="80"/>
      </w:pPr>
      <w:r>
        <w:rPr>
          <w:b/>
          <w:bCs/>
        </w:rPr>
        <w:t xml:space="preserve">Statistics:</w:t>
      </w:r>
      <w:r>
        <w:t xml:space="preserve"> compare pre-test and post-test scores with a </w:t>
      </w:r>
      <w:r>
        <w:rPr>
          <w:b/>
          <w:bCs/>
        </w:rPr>
        <w:t xml:space="preserve">paired t-test</w:t>
      </w:r>
      <w:r>
        <w:t xml:space="preserve"> (or the Wilcoxon signed-rank test if the scores are not normally distributed). Rate ISO 25010 quality on a 5-point Likert scale using the weighted mean.</w:t>
      </w:r>
    </w:p>
    <w:p>
      <w:pPr>
        <w:pStyle w:val="ListParagraph"/>
        <w:numPr>
          <w:ilvl w:val="0"/>
          <w:numId w:val="2"/>
        </w:numPr>
        <w:spacing w:after="80"/>
      </w:pPr>
      <w:r>
        <w:rPr>
          <w:b/>
          <w:bCs/>
        </w:rPr>
        <w:t xml:space="preserve">Honest limitation:</w:t>
      </w:r>
      <w:r>
        <w:t xml:space="preserve"> without a control group, we can show improvement but can't prove the game alone caused it.</w:t>
      </w:r>
    </w:p>
    <w:p>
      <w:pPr>
        <w:pStyle w:val="Heading2"/>
        <w:spacing w:after="120" w:before="240"/>
      </w:pPr>
      <w:r>
        <w:t xml:space="preserve">3.5 Scoring and feedback system</w:t>
      </w:r>
    </w:p>
    <w:p>
      <w:pPr>
        <w:spacing w:after="120" w:line="276"/>
      </w:pPr>
      <w:r>
        <w:t xml:space="preserve">Objective 4 promises this, and it is </w:t>
      </w:r>
      <w:r>
        <w:rPr>
          <w:b/>
          <w:bCs/>
        </w:rPr>
        <w:t xml:space="preserve">already working in the game</w:t>
      </w:r>
      <w:r>
        <w:t xml:space="preserve">, so describe it: each threat ends as </w:t>
      </w:r>
      <w:r>
        <w:rPr>
          <w:b/>
          <w:bCs/>
        </w:rPr>
        <w:t xml:space="preserve">Safe</w:t>
      </w:r>
      <w:r>
        <w:t xml:space="preserve"> (100 points), </w:t>
      </w:r>
      <w:r>
        <w:rPr>
          <w:b/>
          <w:bCs/>
        </w:rPr>
        <w:t xml:space="preserve">Recovered</w:t>
      </w:r>
      <w:r>
        <w:t xml:space="preserve"> (60: a mistake corrected before harm) or </w:t>
      </w:r>
      <w:r>
        <w:rPr>
          <w:b/>
          <w:bCs/>
        </w:rPr>
        <w:t xml:space="preserve">Compromised</w:t>
      </w:r>
      <w:r>
        <w:t xml:space="preserve"> (0). The average becomes the awareness score, rated </w:t>
      </w:r>
      <w:r>
        <w:rPr>
          <w:i/>
          <w:iCs/>
        </w:rPr>
        <w:t xml:space="preserve">Cyber-Savvy</w:t>
      </w:r>
      <w:r>
        <w:t xml:space="preserve"> (90%+), </w:t>
      </w:r>
      <w:r>
        <w:rPr>
          <w:i/>
          <w:iCs/>
        </w:rPr>
        <w:t xml:space="preserve">Getting There</w:t>
      </w:r>
      <w:r>
        <w:t xml:space="preserve"> (60–89%) or </w:t>
      </w:r>
      <w:r>
        <w:rPr>
          <w:i/>
          <w:iCs/>
        </w:rPr>
        <w:t xml:space="preserve">At Risk</w:t>
      </w:r>
      <w:r>
        <w:t xml:space="preserve"> (below 60%). After each chapter, a results screen shows what the player did, the correct action, and its source.</w:t>
      </w:r>
    </w:p>
    <w:p>
      <w:pPr>
        <w:pStyle w:val="Heading2"/>
        <w:spacing w:after="120" w:before="240"/>
      </w:pPr>
      <w:r>
        <w:t xml:space="preserve">3.6 Limitations of the data</w:t>
      </w:r>
    </w:p>
    <w:p>
      <w:pPr>
        <w:spacing w:after="120" w:line="276"/>
      </w:pPr>
      <w:r>
        <w:t xml:space="preserve">Add to the Limitations section:</w:t>
      </w:r>
    </w:p>
    <w:p>
      <w:pPr>
        <w:pStyle w:val="ListParagraph"/>
        <w:numPr>
          <w:ilvl w:val="0"/>
          <w:numId w:val="2"/>
        </w:numPr>
        <w:spacing w:after="80"/>
      </w:pPr>
      <w:r>
        <w:t xml:space="preserve">Complaint numbers undercount real incidents, because many victims never report.</w:t>
      </w:r>
    </w:p>
    <w:p>
      <w:pPr>
        <w:pStyle w:val="ListParagraph"/>
        <w:numPr>
          <w:ilvl w:val="0"/>
          <w:numId w:val="2"/>
        </w:numPr>
        <w:spacing w:after="80"/>
      </w:pPr>
      <w:r>
        <w:t xml:space="preserve">The numbers also rise and fall with how many people report, not only with how much crime there is.</w:t>
      </w:r>
    </w:p>
    <w:p>
      <w:pPr>
        <w:pStyle w:val="ListParagraph"/>
        <w:numPr>
          <w:ilvl w:val="0"/>
          <w:numId w:val="2"/>
        </w:numPr>
        <w:spacing w:after="80"/>
      </w:pPr>
      <w:r>
        <w:t xml:space="preserve">The statistics cover the general public, not students specifically.</w:t>
      </w:r>
    </w:p>
    <w:p>
      <w:pPr>
        <w:pStyle w:val="ListParagraph"/>
        <w:numPr>
          <w:ilvl w:val="0"/>
          <w:numId w:val="2"/>
        </w:numPr>
        <w:spacing w:after="80"/>
      </w:pPr>
      <w:r>
        <w:t xml:space="preserve">Agencies group and count categories differently.</w:t>
      </w:r>
    </w:p>
    <w:p>
      <w:pPr>
        <w:pStyle w:val="Heading1"/>
        <w:spacing w:after="160" w:before="360"/>
      </w:pPr>
      <w:r>
        <w:t xml:space="preserve">Part 4: References to add (APA 7)</w:t>
      </w:r>
    </w:p>
    <w:p>
      <w:pPr>
        <w:spacing w:after="120" w:line="276"/>
      </w:pPr>
      <w:r>
        <w:t xml:space="preserve">Every entry below was checked against the original source in September 2026. </w:t>
      </w:r>
      <w:r>
        <w:rPr>
          <w:b/>
          <w:bCs/>
        </w:rPr>
        <w:t xml:space="preserve">Corrected</w:t>
      </w:r>
      <w:r>
        <w:t xml:space="preserve"> entries replace what we have now; </w:t>
      </w:r>
      <w:r>
        <w:rPr>
          <w:b/>
          <w:bCs/>
        </w:rPr>
        <w:t xml:space="preserve">new</w:t>
      </w:r>
      <w:r>
        <w:t xml:space="preserve"> entries support Part 3. Entries marked [confirm] need details we must look up.</w:t>
      </w:r>
    </w:p>
    <w:p>
      <w:pPr>
        <w:pStyle w:val="Heading2"/>
        <w:spacing w:after="120" w:before="240"/>
      </w:pPr>
      <w:r>
        <w:t xml:space="preserve">Corrected (replace what we have now)</w:t>
      </w:r>
    </w:p>
    <w:p>
      <w:pPr>
        <w:spacing w:after="120"/>
        <w:ind w:left="720" w:hanging="720"/>
      </w:pPr>
      <w:r>
        <w:t xml:space="preserve">Booc, N. B. B., Budiongan, K., &amp; Carballo, R. (2024). Cybersecurity awareness, and cybersecurity behavior of high school students in Davao City: A mediation role of perceived behavioral control. </w:t>
      </w:r>
      <w:r>
        <w:rPr>
          <w:i/>
          <w:iCs/>
        </w:rPr>
        <w:t xml:space="preserve">European Journal of Applied Science, Engineering and Technology, 2</w:t>
      </w:r>
      <w:r>
        <w:t xml:space="preserve">(3), 4–9. </w:t>
      </w:r>
      <w:hyperlink w:history="1" r:id="rIdd9aluew01k_u2ppmfy59t">
        <w:r>
          <w:rPr>
            <w:rStyle w:val="Hyperlink"/>
          </w:rPr>
          <w:t xml:space="preserve">https://doi.org/10.59324/ejaset.2024.2(3).01</w:t>
        </w:r>
      </w:hyperlink>
    </w:p>
    <w:p>
      <w:pPr>
        <w:spacing w:after="120"/>
        <w:ind w:left="720" w:hanging="720"/>
      </w:pPr>
      <w:r>
        <w:t xml:space="preserve">Damenu, T. K., Zaim Gökbay, İ., Covaci, A., &amp; Li, S. (2025). </w:t>
      </w:r>
      <w:r>
        <w:rPr>
          <w:i/>
          <w:iCs/>
        </w:rPr>
        <w:t xml:space="preserve">Cyber security educational games for children: A systematic literature review</w:t>
      </w:r>
      <w:r>
        <w:t xml:space="preserve"> [Preprint]. arXiv. </w:t>
      </w:r>
      <w:hyperlink w:history="1" r:id="rIdlc6j5ehwsg48kyt0bcxp_">
        <w:r>
          <w:rPr>
            <w:rStyle w:val="Hyperlink"/>
          </w:rPr>
          <w:t xml:space="preserve">https://arxiv.org/abs/2508.17414</w:t>
        </w:r>
      </w:hyperlink>
    </w:p>
    <w:p>
      <w:pPr>
        <w:spacing w:after="120"/>
        <w:ind w:left="720" w:hanging="720"/>
      </w:pPr>
      <w:r>
        <w:t xml:space="preserve">Manalo, B., &amp; Gallardo, D. (2024). Cyber security awareness and educational outcomes of Grade 4 learners. </w:t>
      </w:r>
      <w:r>
        <w:rPr>
          <w:i/>
          <w:iCs/>
        </w:rPr>
        <w:t xml:space="preserve">International Journal of Innovative Science and Research Technology</w:t>
      </w:r>
      <w:r>
        <w:t xml:space="preserve">. [confirm: only if this is the study cited as "Balmes et al."; add volume, issue, pages]</w:t>
      </w:r>
    </w:p>
    <w:p>
      <w:pPr>
        <w:spacing w:after="120"/>
        <w:ind w:left="720" w:hanging="720"/>
      </w:pPr>
      <w:r>
        <w:t xml:space="preserve">Moumouh, C., García-Berná, J. A., Chkouri, M. Y., &amp; Fernández-Alemán, J. L. (2025). Serious games to improve privacy and security knowledge for professionals: A systematic literature review. </w:t>
      </w:r>
      <w:r>
        <w:rPr>
          <w:i/>
          <w:iCs/>
        </w:rPr>
        <w:t xml:space="preserve">International Journal of Serious Games, 12</w:t>
      </w:r>
      <w:r>
        <w:t xml:space="preserve">(1), 3–24. </w:t>
      </w:r>
      <w:hyperlink w:history="1" r:id="rId2lnkn5rvswpa_g-rmetb_">
        <w:r>
          <w:rPr>
            <w:rStyle w:val="Hyperlink"/>
          </w:rPr>
          <w:t xml:space="preserve">https://doi.org/10.17083/ijsg.v12i1.825</w:t>
        </w:r>
      </w:hyperlink>
    </w:p>
    <w:p>
      <w:pPr>
        <w:spacing w:after="120"/>
        <w:ind w:left="720" w:hanging="720"/>
      </w:pPr>
      <w:r>
        <w:t xml:space="preserve">Nair, P. (2023). Enhancing cybersecurity awareness training through the NIST framework. </w:t>
      </w:r>
      <w:r>
        <w:rPr>
          <w:i/>
          <w:iCs/>
        </w:rPr>
        <w:t xml:space="preserve">International Journal of Advanced Research in Computer and Communication Engineering, 12</w:t>
      </w:r>
      <w:r>
        <w:t xml:space="preserve">(12). </w:t>
      </w:r>
      <w:hyperlink w:history="1" r:id="rId6akc0piblfuup4n8z7ssb">
        <w:r>
          <w:rPr>
            <w:rStyle w:val="Hyperlink"/>
          </w:rPr>
          <w:t xml:space="preserve">https://doi.org/10.17148/IJARCCE.2023.121203</w:t>
        </w:r>
      </w:hyperlink>
    </w:p>
    <w:p>
      <w:pPr>
        <w:spacing w:after="120"/>
        <w:ind w:left="720" w:hanging="720"/>
      </w:pPr>
      <w:r>
        <w:t xml:space="preserve">Paculanan, R. S., Tadeo, R. L., Caliliw, M. T., Atal, C. P., &amp; Sadol, J. N. (2024). Cyberverse: A game-based learning application for cyber security. </w:t>
      </w:r>
      <w:r>
        <w:rPr>
          <w:i/>
          <w:iCs/>
        </w:rPr>
        <w:t xml:space="preserve">International Journal of Latest Technology in Engineering, Management &amp; Applied Science, 13</w:t>
      </w:r>
      <w:r>
        <w:t xml:space="preserve">(10), 1–6. </w:t>
      </w:r>
      <w:hyperlink w:history="1" r:id="rIdkpbc4l00rbbrycmg3kh-l">
        <w:r>
          <w:rPr>
            <w:rStyle w:val="Hyperlink"/>
          </w:rPr>
          <w:t xml:space="preserve">https://doi.org/10.51583/ijltemas.2024.131001</w:t>
        </w:r>
      </w:hyperlink>
    </w:p>
    <w:p>
      <w:pPr>
        <w:spacing w:after="120"/>
        <w:ind w:left="720" w:hanging="720"/>
      </w:pPr>
      <w:r>
        <w:t xml:space="preserve">Pappas, G., Peratikou, A., Siegel, J., Politopoulos, K., Christodoulides, C., &amp; Stavrou, S. (2020). Cyber escape room: An educational 3D escape room game within a cyber range training realm. </w:t>
      </w:r>
      <w:r>
        <w:rPr>
          <w:i/>
          <w:iCs/>
        </w:rPr>
        <w:t xml:space="preserve">INTED2020 Proceedings</w:t>
      </w:r>
      <w:r>
        <w:t xml:space="preserve">, 2621–2627. </w:t>
      </w:r>
      <w:hyperlink w:history="1" r:id="rId1kxgjr-khd-ip42savmcv">
        <w:r>
          <w:rPr>
            <w:rStyle w:val="Hyperlink"/>
          </w:rPr>
          <w:t xml:space="preserve">https://doi.org/10.21125/inted.2020.0788</w:t>
        </w:r>
      </w:hyperlink>
    </w:p>
    <w:p>
      <w:pPr>
        <w:spacing w:after="120"/>
        <w:ind w:left="720" w:hanging="720"/>
      </w:pPr>
      <w:r>
        <w:t xml:space="preserve">Santelices, R. B. (2025). A students' perspective on cybersecurity awareness and education. </w:t>
      </w:r>
      <w:r>
        <w:rPr>
          <w:i/>
          <w:iCs/>
        </w:rPr>
        <w:t xml:space="preserve">International Journal of Research and Innovation in Social Science, 9</w:t>
      </w:r>
      <w:r>
        <w:t xml:space="preserve">(3s), 7976–7988. </w:t>
      </w:r>
      <w:hyperlink w:history="1" r:id="rIdindqbxll6qamyszt_3nou">
        <w:r>
          <w:rPr>
            <w:rStyle w:val="Hyperlink"/>
          </w:rPr>
          <w:t xml:space="preserve">https://doi.org/10.47772/IJRISS.2025.903SEDU0597</w:t>
        </w:r>
      </w:hyperlink>
    </w:p>
    <w:p>
      <w:pPr>
        <w:spacing w:after="120"/>
        <w:ind w:left="720" w:hanging="720"/>
      </w:pPr>
      <w:r>
        <w:t xml:space="preserve">Tinubu, C. O., Falana, O. J., Oluwumi, E. O., Sodiya, A. S., &amp; Rufai, S. A. (2023). PHISHGEM: A mobile game-based learning for phishing awareness. </w:t>
      </w:r>
      <w:r>
        <w:rPr>
          <w:i/>
          <w:iCs/>
        </w:rPr>
        <w:t xml:space="preserve">Journal of Cyber Security Technology, 7</w:t>
      </w:r>
      <w:r>
        <w:t xml:space="preserve">(3), 134–153. </w:t>
      </w:r>
      <w:hyperlink w:history="1" r:id="rIdynjzd5jpglvyhhpve7nkp">
        <w:r>
          <w:rPr>
            <w:rStyle w:val="Hyperlink"/>
          </w:rPr>
          <w:t xml:space="preserve">https://doi.org/10.1080/23742917.2023.2167276</w:t>
        </w:r>
      </w:hyperlink>
    </w:p>
    <w:p>
      <w:pPr>
        <w:spacing w:after="120"/>
        <w:ind w:left="720" w:hanging="720"/>
      </w:pPr>
      <w:r>
        <w:t xml:space="preserve">Tuscano, [confirm initials]. (2024). </w:t>
      </w:r>
      <w:r>
        <w:rPr>
          <w:i/>
          <w:iCs/>
        </w:rPr>
        <w:t xml:space="preserve">Cybersecurity awareness among senior high school students in District of Tanza: Basis for cyber education program in schools</w:t>
      </w:r>
      <w:r>
        <w:t xml:space="preserve">. [confirm journal details] </w:t>
      </w:r>
      <w:hyperlink w:history="1" r:id="rIdoj3tiegm-knnbrogr-in9">
        <w:r>
          <w:rPr>
            <w:rStyle w:val="Hyperlink"/>
          </w:rPr>
          <w:t xml:space="preserve">https://www.researchgate.net/publication/381021932</w:t>
        </w:r>
      </w:hyperlink>
    </w:p>
    <w:p>
      <w:pPr>
        <w:spacing w:after="120"/>
        <w:ind w:left="720" w:hanging="720"/>
      </w:pPr>
      <w:r>
        <w:t xml:space="preserve">Weeratunge, N. H., &amp; Hjelsvold, R. (2025). Enhancing cybersecurity learning with in-game feedback. </w:t>
      </w:r>
      <w:r>
        <w:rPr>
          <w:i/>
          <w:iCs/>
        </w:rPr>
        <w:t xml:space="preserve">Proceedings of the 19th European Conference on Games Based Learning, 19</w:t>
      </w:r>
      <w:r>
        <w:t xml:space="preserve">(2), 883–891. </w:t>
      </w:r>
      <w:hyperlink w:history="1" r:id="rIdms84fnwwx8zw_kdnrcmw1">
        <w:r>
          <w:rPr>
            <w:rStyle w:val="Hyperlink"/>
          </w:rPr>
          <w:t xml:space="preserve">https://doi.org/10.34190/ecgbl.19.2.3994</w:t>
        </w:r>
      </w:hyperlink>
    </w:p>
    <w:p>
      <w:pPr>
        <w:pStyle w:val="Heading2"/>
        <w:spacing w:after="120" w:before="240"/>
      </w:pPr>
      <w:r>
        <w:t xml:space="preserve">New (for Part 3)</w:t>
      </w:r>
    </w:p>
    <w:p>
      <w:pPr>
        <w:spacing w:after="120"/>
        <w:ind w:left="720" w:hanging="720"/>
      </w:pPr>
      <w:r>
        <w:t xml:space="preserve">Caliwan, C. L. (2026, January 6). PNP: Fewer cybercrime incidents logged in 2025. </w:t>
      </w:r>
      <w:r>
        <w:rPr>
          <w:i/>
          <w:iCs/>
        </w:rPr>
        <w:t xml:space="preserve">Philippine News Agency</w:t>
      </w:r>
      <w:r>
        <w:t xml:space="preserve">. </w:t>
      </w:r>
      <w:hyperlink w:history="1" r:id="rIdzmspms2khdpjtoholjtpu">
        <w:r>
          <w:rPr>
            <w:rStyle w:val="Hyperlink"/>
          </w:rPr>
          <w:t xml:space="preserve">https://www.pna.gov.ph/articles/1266278</w:t>
        </w:r>
      </w:hyperlink>
    </w:p>
    <w:p>
      <w:pPr>
        <w:spacing w:after="120"/>
        <w:ind w:left="720" w:hanging="720"/>
      </w:pPr>
      <w:r>
        <w:t xml:space="preserve">Dela Cruz, R. C. (2025, January 31). Scam complaints triple in 2024 – CICC. </w:t>
      </w:r>
      <w:r>
        <w:rPr>
          <w:i/>
          <w:iCs/>
        </w:rPr>
        <w:t xml:space="preserve">Philippine News Agency</w:t>
      </w:r>
      <w:r>
        <w:t xml:space="preserve">. </w:t>
      </w:r>
      <w:hyperlink w:history="1" r:id="rIdsjzen4w20yspb5lxyoacx">
        <w:r>
          <w:rPr>
            <w:rStyle w:val="Hyperlink"/>
          </w:rPr>
          <w:t xml:space="preserve">https://www.pna.gov.ph/articles/1243101</w:t>
        </w:r>
      </w:hyperlink>
    </w:p>
    <w:p>
      <w:pPr>
        <w:spacing w:after="120"/>
        <w:ind w:left="720" w:hanging="720"/>
      </w:pPr>
      <w:r>
        <w:t xml:space="preserve">Department of Information and Communications Technology. (2025). </w:t>
      </w:r>
      <w:r>
        <w:rPr>
          <w:i/>
          <w:iCs/>
        </w:rPr>
        <w:t xml:space="preserve">Briefer on the monitoring and documentation of cyber-related cases 2023–2024</w:t>
      </w:r>
      <w:r>
        <w:t xml:space="preserve">. </w:t>
      </w:r>
      <w:hyperlink w:history="1" r:id="rIdxg1ehnnjqiidutgjf7g58">
        <w:r>
          <w:rPr>
            <w:rStyle w:val="Hyperlink"/>
          </w:rPr>
          <w:t xml:space="preserve">https://ictstatistics.dict.gov.ph/wp-content/uploads/2025/08/Briefer-on-Monitoring-of-Cyber-Related-Crimes-2023-2024.pdf</w:t>
        </w:r>
      </w:hyperlink>
    </w:p>
    <w:p>
      <w:pPr>
        <w:spacing w:after="120"/>
        <w:ind w:left="720" w:hanging="720"/>
      </w:pPr>
      <w:r>
        <w:t xml:space="preserve">Federal Bureau of Investigation. (2025). </w:t>
      </w:r>
      <w:r>
        <w:rPr>
          <w:i/>
          <w:iCs/>
        </w:rPr>
        <w:t xml:space="preserve">Internet crime report 2024</w:t>
      </w:r>
      <w:r>
        <w:t xml:space="preserve">. Internet Crime Complaint Center. </w:t>
      </w:r>
      <w:hyperlink w:history="1" r:id="rIdpccq5qzipvlfbcut78enl">
        <w:r>
          <w:rPr>
            <w:rStyle w:val="Hyperlink"/>
          </w:rPr>
          <w:t xml:space="preserve">https://www.ic3.gov/AnnualReport/Reports/2024_IC3Report.pdf</w:t>
        </w:r>
      </w:hyperlink>
    </w:p>
    <w:p>
      <w:pPr>
        <w:spacing w:after="120"/>
        <w:ind w:left="720" w:hanging="720"/>
      </w:pPr>
      <w:r>
        <w:t xml:space="preserve">Federal Bureau of Investigation. (2026, April 6). </w:t>
      </w:r>
      <w:r>
        <w:rPr>
          <w:i/>
          <w:iCs/>
        </w:rPr>
        <w:t xml:space="preserve">Cryptocurrency and AI scams bilk Americans of billions</w:t>
      </w:r>
      <w:r>
        <w:t xml:space="preserve"> [Press release]. </w:t>
      </w:r>
      <w:hyperlink w:history="1" r:id="rId544x0u3lubwncb3lex5lr">
        <w:r>
          <w:rPr>
            <w:rStyle w:val="Hyperlink"/>
          </w:rPr>
          <w:t xml:space="preserve">https://www.fbi.gov/news/press-releases/cryptocurrency-and-ai-scams-bilk-americans-of-billions</w:t>
        </w:r>
      </w:hyperlink>
    </w:p>
    <w:p>
      <w:pPr>
        <w:spacing w:after="120"/>
        <w:ind w:left="720" w:hanging="720"/>
      </w:pPr>
      <w:r>
        <w:t xml:space="preserve">National Institute of Standards and Technology. (2024). </w:t>
      </w:r>
      <w:r>
        <w:rPr>
          <w:i/>
          <w:iCs/>
        </w:rPr>
        <w:t xml:space="preserve">The NIST Cybersecurity Framework (CSF) 2.0</w:t>
      </w:r>
      <w:r>
        <w:t xml:space="preserve"> (NIST CSWP 29). </w:t>
      </w:r>
      <w:hyperlink w:history="1" r:id="rId7ifefvo98dzieyluloju-">
        <w:r>
          <w:rPr>
            <w:rStyle w:val="Hyperlink"/>
          </w:rPr>
          <w:t xml:space="preserve">https://doi.org/10.6028/NIST.CSWP.29</w:t>
        </w:r>
      </w:hyperlink>
    </w:p>
    <w:p>
      <w:pPr>
        <w:spacing w:after="120"/>
        <w:ind w:left="720" w:hanging="720"/>
      </w:pPr>
      <w:r>
        <w:t xml:space="preserve">Republic Act No. 10173. (2012). </w:t>
      </w:r>
      <w:r>
        <w:rPr>
          <w:i/>
          <w:iCs/>
        </w:rPr>
        <w:t xml:space="preserve">Data Privacy Act of 2012</w:t>
      </w:r>
      <w:r>
        <w:t xml:space="preserve">. </w:t>
      </w:r>
      <w:hyperlink w:history="1" r:id="rIdpqtcr9jqj7fvzxfacmx8b">
        <w:r>
          <w:rPr>
            <w:rStyle w:val="Hyperlink"/>
          </w:rPr>
          <w:t xml:space="preserve">https://lawphil.net/statutes/repacts/ra2012/ra_10173_2012.html</w:t>
        </w:r>
      </w:hyperlink>
    </w:p>
    <w:p>
      <w:pPr>
        <w:spacing w:after="120"/>
        <w:ind w:left="720" w:hanging="720"/>
      </w:pPr>
      <w:r>
        <w:t xml:space="preserve">Republic Act No. 10175. (2012). </w:t>
      </w:r>
      <w:r>
        <w:rPr>
          <w:i/>
          <w:iCs/>
        </w:rPr>
        <w:t xml:space="preserve">Cybercrime Prevention Act of 2012</w:t>
      </w:r>
      <w:r>
        <w:t xml:space="preserve">. </w:t>
      </w:r>
      <w:hyperlink w:history="1" r:id="rIdjjpgfb1qpg6d_gqpzf4qx">
        <w:r>
          <w:rPr>
            <w:rStyle w:val="Hyperlink"/>
          </w:rPr>
          <w:t xml:space="preserve">https://lawphil.net/statutes/repacts/ra2012/ra_10175_2012.html</w:t>
        </w:r>
      </w:hyperlink>
    </w:p>
    <w:p>
      <w:pPr>
        <w:spacing w:after="120"/>
        <w:ind w:left="720" w:hanging="720"/>
      </w:pPr>
      <w:r>
        <w:t xml:space="preserve">Republic Act No. 12010. (2024). </w:t>
      </w:r>
      <w:r>
        <w:rPr>
          <w:i/>
          <w:iCs/>
        </w:rPr>
        <w:t xml:space="preserve">Anti-Financial Account Scamming Act</w:t>
      </w:r>
      <w:r>
        <w:t xml:space="preserve">. </w:t>
      </w:r>
      <w:hyperlink w:history="1" r:id="rIdsxzqc_ztpalr5wwrtl7nz">
        <w:r>
          <w:rPr>
            <w:rStyle w:val="Hyperlink"/>
          </w:rPr>
          <w:t xml:space="preserve">https://lawphil.net/statutes/repacts/ra2024/ra_12010_2024.html</w:t>
        </w:r>
      </w:hyperlink>
    </w:p>
    <w:p>
      <w:pPr>
        <w:spacing w:after="120"/>
        <w:ind w:left="720" w:hanging="720"/>
      </w:pPr>
      <w:r>
        <w:t xml:space="preserve">Verizon. (2025). </w:t>
      </w:r>
      <w:r>
        <w:rPr>
          <w:i/>
          <w:iCs/>
        </w:rPr>
        <w:t xml:space="preserve">2025 data breach investigations report</w:t>
      </w:r>
      <w:r>
        <w:t xml:space="preserve">. </w:t>
      </w:r>
      <w:hyperlink w:history="1" r:id="rIdrrhndbb5kfrsj26j9lhna">
        <w:r>
          <w:rPr>
            <w:rStyle w:val="Hyperlink"/>
          </w:rPr>
          <w:t xml:space="preserve">https://www.verizon.com/business/resources/reports/2025-dbir-data-breach-investigations-report.pdf</w:t>
        </w:r>
      </w:hyperlink>
    </w:p>
    <w:p>
      <w:pPr>
        <w:spacing w:after="120"/>
        <w:ind w:left="720" w:hanging="720"/>
      </w:pPr>
      <w:r>
        <w:t xml:space="preserve">Verizon. (2026, May 19). </w:t>
      </w:r>
      <w:r>
        <w:rPr>
          <w:i/>
          <w:iCs/>
        </w:rPr>
        <w:t xml:space="preserve">Vulnerability exploitation top breach entry point, 2026 industry-wide DBIR finds</w:t>
      </w:r>
      <w:r>
        <w:t xml:space="preserve"> [Press release]. </w:t>
      </w:r>
      <w:hyperlink w:history="1" r:id="rIdsf8bxpchu4zaspp2at-ml">
        <w:r>
          <w:rPr>
            <w:rStyle w:val="Hyperlink"/>
          </w:rPr>
          <w:t xml:space="preserve">https://www.verizon.com/about/news/breach-industry-wide-dbir-finds</w:t>
        </w:r>
      </w:hyperlink>
    </w:p>
    <w:p>
      <w:pPr>
        <w:spacing w:after="80"/>
      </w:pPr>
    </w:p>
    <w:p>
      <w:pPr>
        <w:spacing w:after="120" w:line="276"/>
      </w:pPr>
      <w:r>
        <w:rPr>
          <w:b/>
          <w:bCs/>
        </w:rPr>
        <w:t xml:space="preserve">One rule for everyone:</w:t>
      </w:r>
      <w:r>
        <w:t xml:space="preserve"> when we add a number to the paper, cite where it originally comes from (a government site, report or journal), not a blog or news post that repeats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2D4A6E"/>
      <w:sz w:val="25"/>
      <w:szCs w:val="25"/>
    </w:rPr>
  </w:style>
  <w:style w:type="paragraph" w:styleId="Heading3">
    <w:name w:val="Heading 3"/>
    <w:basedOn w:val="Normal"/>
    <w:next w:val="Normal"/>
    <w:qFormat/>
    <w:pPr>
      <w:outlineLvl w:val="2"/>
    </w:pPr>
    <w:rPr>
      <w:rFonts w:ascii="Arial" w:cs="Arial" w:eastAsia="Arial" w:hAnsi="Arial"/>
      <w:b/>
      <w:bCs/>
      <w:color w:val="2D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9aluew01k_u2ppmfy59t" Type="http://schemas.openxmlformats.org/officeDocument/2006/relationships/hyperlink" Target="https://doi.org/10.59324/ejaset.2024.2(3).01" TargetMode="External"/><Relationship Id="rIdlc6j5ehwsg48kyt0bcxp_" Type="http://schemas.openxmlformats.org/officeDocument/2006/relationships/hyperlink" Target="https://arxiv.org/abs/2508.17414" TargetMode="External"/><Relationship Id="rId2lnkn5rvswpa_g-rmetb_" Type="http://schemas.openxmlformats.org/officeDocument/2006/relationships/hyperlink" Target="https://doi.org/10.17083/ijsg.v12i1.825" TargetMode="External"/><Relationship Id="rId6akc0piblfuup4n8z7ssb" Type="http://schemas.openxmlformats.org/officeDocument/2006/relationships/hyperlink" Target="https://doi.org/10.17148/IJARCCE.2023.121203" TargetMode="External"/><Relationship Id="rIdkpbc4l00rbbrycmg3kh-l" Type="http://schemas.openxmlformats.org/officeDocument/2006/relationships/hyperlink" Target="https://doi.org/10.51583/ijltemas.2024.131001" TargetMode="External"/><Relationship Id="rId1kxgjr-khd-ip42savmcv" Type="http://schemas.openxmlformats.org/officeDocument/2006/relationships/hyperlink" Target="https://doi.org/10.21125/inted.2020.0788" TargetMode="External"/><Relationship Id="rIdindqbxll6qamyszt_3nou" Type="http://schemas.openxmlformats.org/officeDocument/2006/relationships/hyperlink" Target="https://doi.org/10.47772/IJRISS.2025.903SEDU0597" TargetMode="External"/><Relationship Id="rIdynjzd5jpglvyhhpve7nkp" Type="http://schemas.openxmlformats.org/officeDocument/2006/relationships/hyperlink" Target="https://doi.org/10.1080/23742917.2023.2167276" TargetMode="External"/><Relationship Id="rIdoj3tiegm-knnbrogr-in9" Type="http://schemas.openxmlformats.org/officeDocument/2006/relationships/hyperlink" Target="https://www.researchgate.net/publication/381021932" TargetMode="External"/><Relationship Id="rIdms84fnwwx8zw_kdnrcmw1" Type="http://schemas.openxmlformats.org/officeDocument/2006/relationships/hyperlink" Target="https://doi.org/10.34190/ecgbl.19.2.3994" TargetMode="External"/><Relationship Id="rIdzmspms2khdpjtoholjtpu" Type="http://schemas.openxmlformats.org/officeDocument/2006/relationships/hyperlink" Target="https://www.pna.gov.ph/articles/1266278" TargetMode="External"/><Relationship Id="rIdsjzen4w20yspb5lxyoacx" Type="http://schemas.openxmlformats.org/officeDocument/2006/relationships/hyperlink" Target="https://www.pna.gov.ph/articles/1243101" TargetMode="External"/><Relationship Id="rIdxg1ehnnjqiidutgjf7g58" Type="http://schemas.openxmlformats.org/officeDocument/2006/relationships/hyperlink" Target="https://ictstatistics.dict.gov.ph/wp-content/uploads/2025/08/Briefer-on-Monitoring-of-Cyber-Related-Crimes-2023-2024.pdf" TargetMode="External"/><Relationship Id="rIdpccq5qzipvlfbcut78enl" Type="http://schemas.openxmlformats.org/officeDocument/2006/relationships/hyperlink" Target="https://www.ic3.gov/AnnualReport/Reports/2024_IC3Report.pdf" TargetMode="External"/><Relationship Id="rId544x0u3lubwncb3lex5lr" Type="http://schemas.openxmlformats.org/officeDocument/2006/relationships/hyperlink" Target="https://www.fbi.gov/news/press-releases/cryptocurrency-and-ai-scams-bilk-americans-of-billions" TargetMode="External"/><Relationship Id="rId7ifefvo98dzieyluloju-" Type="http://schemas.openxmlformats.org/officeDocument/2006/relationships/hyperlink" Target="https://doi.org/10.6028/NIST.CSWP.29" TargetMode="External"/><Relationship Id="rIdpqtcr9jqj7fvzxfacmx8b" Type="http://schemas.openxmlformats.org/officeDocument/2006/relationships/hyperlink" Target="https://lawphil.net/statutes/repacts/ra2012/ra_10173_2012.html" TargetMode="External"/><Relationship Id="rIdjjpgfb1qpg6d_gqpzf4qx" Type="http://schemas.openxmlformats.org/officeDocument/2006/relationships/hyperlink" Target="https://lawphil.net/statutes/repacts/ra2012/ra_10175_2012.html" TargetMode="External"/><Relationship Id="rIdsxzqc_ztpalr5wwrtl7nz" Type="http://schemas.openxmlformats.org/officeDocument/2006/relationships/hyperlink" Target="https://lawphil.net/statutes/repacts/ra2024/ra_12010_2024.html" TargetMode="External"/><Relationship Id="rIdrrhndbb5kfrsj26j9lhna" Type="http://schemas.openxmlformats.org/officeDocument/2006/relationships/hyperlink" Target="https://www.verizon.com/business/resources/reports/2025-dbir-data-breach-investigations-report.pdf" TargetMode="External"/><Relationship Id="rIdsf8bxpchu4zaspp2at-ml" Type="http://schemas.openxmlformats.org/officeDocument/2006/relationships/hyperlink" Target="https://www.verizon.com/about/news/breach-industry-wide-dbir-finds"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CADSNET changes needed in our paper</dc:title>
  <dc:creator>CADSNET team</dc:creator>
  <cp:lastModifiedBy>Un-named</cp:lastModifiedBy>
  <cp:revision>1</cp:revision>
  <dcterms:created xsi:type="dcterms:W3CDTF">2026-09-25T12:54:40.227Z</dcterms:created>
  <dcterms:modified xsi:type="dcterms:W3CDTF">2026-09-25T12:54:40.228Z</dcterms:modified>
</cp:coreProperties>
</file>

<file path=docProps/custom.xml><?xml version="1.0" encoding="utf-8"?>
<Properties xmlns="http://schemas.openxmlformats.org/officeDocument/2006/custom-properties" xmlns:vt="http://schemas.openxmlformats.org/officeDocument/2006/docPropsVTypes"/>
</file>