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300"/>
      </w:pPr>
      <w:r>
        <w:rPr>
          <w:b/>
          <w:bCs/>
          <w:color w:val="2F6123"/>
          <w:spacing w:val="60"/>
          <w:sz w:val="20"/>
          <w:szCs w:val="20"/>
        </w:rPr>
        <w:t xml:space="preserve">PARQUE CENTRAL DE SANTIAGO</w:t>
      </w:r>
    </w:p>
    <w:p>
      <w:pPr>
        <w:spacing w:after="140"/>
      </w:pPr>
      <w:r>
        <w:rPr>
          <w:b/>
          <w:bCs/>
          <w:color w:val="17330F"/>
          <w:sz w:val="46"/>
          <w:szCs w:val="46"/>
        </w:rPr>
        <w:t xml:space="preserve">El correo del sitio</w:t>
      </w:r>
    </w:p>
    <w:p>
      <w:pPr>
        <w:pBdr>
          <w:top w:val="single" w:color="2F6123" w:sz="12" w:space="10"/>
        </w:pBdr>
        <w:spacing w:after="340"/>
      </w:pPr>
    </w:p>
    <w:p>
      <w:pPr>
        <w:spacing w:after="280" w:line="276"/>
      </w:pPr>
      <w:r>
        <w:rPr>
          <w:color w:val="5A5A56"/>
          <w:sz w:val="24"/>
          <w:szCs w:val="24"/>
        </w:rPr>
        <w:t xml:space="preserve">Por qué los correos del sitio salen hoy desde una cuenta personal, qué hace falta para que salgan a nombre del Parque, y qué hay que pedirle a quién.</w:t>
      </w:r>
    </w:p>
    <w:p>
      <w:pPr>
        <w:spacing w:after="120" w:line="276"/>
      </w:pPr>
      <w:r>
        <w:rPr>
          <w:color w:val="8A6B60"/>
          <w:sz w:val="20"/>
          <w:szCs w:val="20"/>
        </w:rPr>
        <w:t xml:space="preserve">Ureña Limited Partners · Septiembre de 2026</w:t>
      </w:r>
    </w:p>
    <w:p>
      <w:r>
        <w:br w:type="page"/>
      </w:r>
    </w:p>
    <w:p>
      <w:pPr>
        <w:pStyle w:val="Heading1"/>
        <w:pBdr>
          <w:bottom w:val="single" w:color="2F6123" w:sz="12" w:space="6"/>
        </w:pBdr>
        <w:spacing w:after="200" w:before="420"/>
      </w:pPr>
      <w:r>
        <w:rPr>
          <w:b/>
          <w:bCs/>
          <w:color w:val="17330F"/>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2"/>
        <w:spacing w:after="120" w:before="300"/>
      </w:pPr>
      <w:r>
        <w:rPr>
          <w:b/>
          <w:bCs/>
          <w:color w:val="2F6123"/>
          <w:sz w:val="24"/>
          <w:szCs w:val="24"/>
        </w:rPr>
        <w:t xml:space="preserve">1. Qué manda el sitio</w:t>
      </w:r>
    </w:p>
    <w:p>
      <w:pPr>
        <w:spacing w:after="120" w:line="276"/>
      </w:pPr>
      <w:r>
        <w:rPr>
          <w:b w:val="false"/>
          <w:bCs w:val="false"/>
          <w:color w:val="333330"/>
          <w:sz w:val="21"/>
          <w:szCs w:val="21"/>
        </w:rPr>
        <w:t xml:space="preserve">Seis correos, todos automáticos.</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Cuándo</w:t>
            </w:r>
          </w:p>
        </w:tc>
        <w:tc>
          <w:tcPr>
            <w:tcW w:type="dxa" w:w="5429"/>
            <w:shd w:fill="F5F5F2" w:val="clear"/>
            <w:tcMar>
              <w:top w:type="dxa" w:w="85"/>
              <w:left w:type="dxa" w:w="130"/>
              <w:bottom w:type="dxa" w:w="85"/>
              <w:right w:type="dxa" w:w="130"/>
            </w:tcMar>
          </w:tcPr>
          <w:p>
            <w:r>
              <w:rPr>
                <w:b/>
                <w:bCs/>
                <w:color w:val="5A5A56"/>
                <w:sz w:val="18"/>
                <w:szCs w:val="18"/>
              </w:rPr>
              <w:t xml:space="preserve">A quién</w:t>
            </w:r>
          </w:p>
        </w:tc>
      </w:tr>
      <w:tr>
        <w:tc>
          <w:tcPr>
            <w:tcW w:type="dxa" w:w="3931"/>
            <w:tcMar>
              <w:top w:type="dxa" w:w="85"/>
              <w:left w:type="dxa" w:w="130"/>
              <w:bottom w:type="dxa" w:w="85"/>
              <w:right w:type="dxa" w:w="130"/>
            </w:tcMar>
          </w:tcPr>
          <w:p>
            <w:r>
              <w:rPr>
                <w:b/>
                <w:bCs/>
                <w:color w:val="333330"/>
                <w:sz w:val="20"/>
                <w:szCs w:val="20"/>
              </w:rPr>
              <w:t xml:space="preserve">Llega un mensaje de contacto</w:t>
            </w:r>
          </w:p>
        </w:tc>
        <w:tc>
          <w:tcPr>
            <w:tcW w:type="dxa" w:w="5429"/>
            <w:tcMar>
              <w:top w:type="dxa" w:w="85"/>
              <w:left w:type="dxa" w:w="130"/>
              <w:bottom w:type="dxa" w:w="85"/>
              <w:right w:type="dxa" w:w="130"/>
            </w:tcMar>
          </w:tcPr>
          <w:p>
            <w:r>
              <w:rPr>
                <w:b w:val="false"/>
                <w:bCs w:val="false"/>
                <w:color w:val="333330"/>
                <w:sz w:val="20"/>
                <w:szCs w:val="20"/>
              </w:rPr>
              <w:t xml:space="preserve">Al Parque</w:t>
            </w:r>
          </w:p>
        </w:tc>
      </w:tr>
      <w:tr>
        <w:tc>
          <w:tcPr>
            <w:tcW w:type="dxa" w:w="3931"/>
            <w:tcMar>
              <w:top w:type="dxa" w:w="85"/>
              <w:left w:type="dxa" w:w="130"/>
              <w:bottom w:type="dxa" w:w="85"/>
              <w:right w:type="dxa" w:w="130"/>
            </w:tcMar>
          </w:tcPr>
          <w:p>
            <w:r>
              <w:rPr>
                <w:b/>
                <w:bCs/>
                <w:color w:val="333330"/>
                <w:sz w:val="20"/>
                <w:szCs w:val="20"/>
              </w:rPr>
              <w:t xml:space="preserve">Llega una sugerencia</w:t>
            </w:r>
          </w:p>
        </w:tc>
        <w:tc>
          <w:tcPr>
            <w:tcW w:type="dxa" w:w="5429"/>
            <w:tcMar>
              <w:top w:type="dxa" w:w="85"/>
              <w:left w:type="dxa" w:w="130"/>
              <w:bottom w:type="dxa" w:w="85"/>
              <w:right w:type="dxa" w:w="130"/>
            </w:tcMar>
          </w:tcPr>
          <w:p>
            <w:r>
              <w:rPr>
                <w:b w:val="false"/>
                <w:bCs w:val="false"/>
                <w:color w:val="333330"/>
                <w:sz w:val="20"/>
                <w:szCs w:val="20"/>
              </w:rPr>
              <w:t xml:space="preserve">Al Parque</w:t>
            </w:r>
          </w:p>
        </w:tc>
      </w:tr>
      <w:tr>
        <w:tc>
          <w:tcPr>
            <w:tcW w:type="dxa" w:w="3931"/>
            <w:tcMar>
              <w:top w:type="dxa" w:w="85"/>
              <w:left w:type="dxa" w:w="130"/>
              <w:bottom w:type="dxa" w:w="85"/>
              <w:right w:type="dxa" w:w="130"/>
            </w:tcMar>
          </w:tcPr>
          <w:p>
            <w:r>
              <w:rPr>
                <w:b/>
                <w:bCs/>
                <w:color w:val="333330"/>
                <w:sz w:val="20"/>
                <w:szCs w:val="20"/>
              </w:rPr>
              <w:t xml:space="preserve">Llega una solicitud de reserva</w:t>
            </w:r>
          </w:p>
        </w:tc>
        <w:tc>
          <w:tcPr>
            <w:tcW w:type="dxa" w:w="5429"/>
            <w:tcMar>
              <w:top w:type="dxa" w:w="85"/>
              <w:left w:type="dxa" w:w="130"/>
              <w:bottom w:type="dxa" w:w="85"/>
              <w:right w:type="dxa" w:w="130"/>
            </w:tcMar>
          </w:tcPr>
          <w:p>
            <w:r>
              <w:rPr>
                <w:b w:val="false"/>
                <w:bCs w:val="false"/>
                <w:color w:val="333330"/>
                <w:sz w:val="20"/>
                <w:szCs w:val="20"/>
              </w:rPr>
              <w:t xml:space="preserve">Al Parque, y acuse a quien la pidió</w:t>
            </w:r>
          </w:p>
        </w:tc>
      </w:tr>
      <w:tr>
        <w:tc>
          <w:tcPr>
            <w:tcW w:type="dxa" w:w="3931"/>
            <w:tcMar>
              <w:top w:type="dxa" w:w="85"/>
              <w:left w:type="dxa" w:w="130"/>
              <w:bottom w:type="dxa" w:w="85"/>
              <w:right w:type="dxa" w:w="130"/>
            </w:tcMar>
          </w:tcPr>
          <w:p>
            <w:r>
              <w:rPr>
                <w:b/>
                <w:bCs/>
                <w:color w:val="333330"/>
                <w:sz w:val="20"/>
                <w:szCs w:val="20"/>
              </w:rPr>
              <w:t xml:space="preserve">Llega un aporte</w:t>
            </w:r>
          </w:p>
        </w:tc>
        <w:tc>
          <w:tcPr>
            <w:tcW w:type="dxa" w:w="5429"/>
            <w:tcMar>
              <w:top w:type="dxa" w:w="85"/>
              <w:left w:type="dxa" w:w="130"/>
              <w:bottom w:type="dxa" w:w="85"/>
              <w:right w:type="dxa" w:w="130"/>
            </w:tcMar>
          </w:tcPr>
          <w:p>
            <w:r>
              <w:rPr>
                <w:b w:val="false"/>
                <w:bCs w:val="false"/>
                <w:color w:val="333330"/>
                <w:sz w:val="20"/>
                <w:szCs w:val="20"/>
              </w:rPr>
              <w:t xml:space="preserve">Al Parque, y acuse a quien lo ofrece</w:t>
            </w:r>
          </w:p>
        </w:tc>
      </w:tr>
      <w:tr>
        <w:tc>
          <w:tcPr>
            <w:tcW w:type="dxa" w:w="3931"/>
            <w:tcMar>
              <w:top w:type="dxa" w:w="85"/>
              <w:left w:type="dxa" w:w="130"/>
              <w:bottom w:type="dxa" w:w="85"/>
              <w:right w:type="dxa" w:w="130"/>
            </w:tcMar>
          </w:tcPr>
          <w:p>
            <w:r>
              <w:rPr>
                <w:b/>
                <w:bCs/>
                <w:color w:val="333330"/>
                <w:sz w:val="20"/>
                <w:szCs w:val="20"/>
              </w:rPr>
              <w:t xml:space="preserve">Se aprueba o se rechaza una reserva</w:t>
            </w:r>
          </w:p>
        </w:tc>
        <w:tc>
          <w:tcPr>
            <w:tcW w:type="dxa" w:w="5429"/>
            <w:tcMar>
              <w:top w:type="dxa" w:w="85"/>
              <w:left w:type="dxa" w:w="130"/>
              <w:bottom w:type="dxa" w:w="85"/>
              <w:right w:type="dxa" w:w="130"/>
            </w:tcMar>
          </w:tcPr>
          <w:p>
            <w:r>
              <w:rPr>
                <w:b w:val="false"/>
                <w:bCs w:val="false"/>
                <w:color w:val="333330"/>
                <w:sz w:val="20"/>
                <w:szCs w:val="20"/>
              </w:rPr>
              <w:t xml:space="preserve">A quien la solicitó</w:t>
            </w:r>
          </w:p>
        </w:tc>
      </w:tr>
      <w:tr>
        <w:tc>
          <w:tcPr>
            <w:tcW w:type="dxa" w:w="3931"/>
            <w:tcMar>
              <w:top w:type="dxa" w:w="85"/>
              <w:left w:type="dxa" w:w="130"/>
              <w:bottom w:type="dxa" w:w="85"/>
              <w:right w:type="dxa" w:w="130"/>
            </w:tcMar>
          </w:tcPr>
          <w:p>
            <w:r>
              <w:rPr>
                <w:b/>
                <w:bCs/>
                <w:color w:val="333330"/>
                <w:sz w:val="20"/>
                <w:szCs w:val="20"/>
              </w:rPr>
              <w:t xml:space="preserve">Se acepta o no se acepta un aporte</w:t>
            </w:r>
          </w:p>
        </w:tc>
        <w:tc>
          <w:tcPr>
            <w:tcW w:type="dxa" w:w="5429"/>
            <w:tcMar>
              <w:top w:type="dxa" w:w="85"/>
              <w:left w:type="dxa" w:w="130"/>
              <w:bottom w:type="dxa" w:w="85"/>
              <w:right w:type="dxa" w:w="130"/>
            </w:tcMar>
          </w:tcPr>
          <w:p>
            <w:r>
              <w:rPr>
                <w:b w:val="false"/>
                <w:bCs w:val="false"/>
                <w:color w:val="333330"/>
                <w:sz w:val="20"/>
                <w:szCs w:val="20"/>
              </w:rPr>
              <w:t xml:space="preserve">A quien lo ofreció</w:t>
            </w:r>
          </w:p>
        </w:tc>
      </w:tr>
    </w:tbl>
    <w:p>
      <w:pPr>
        <w:spacing w:after="160"/>
      </w:pPr>
    </w:p>
    <w:p>
      <w:pPr>
        <w:spacing w:after="120" w:line="276"/>
      </w:pPr>
      <w:r>
        <w:rPr>
          <w:b w:val="false"/>
          <w:bCs w:val="false"/>
          <w:color w:val="333330"/>
          <w:sz w:val="21"/>
          <w:szCs w:val="21"/>
        </w:rPr>
        <w:t xml:space="preserve">Los cuatro últimos usan plantillas que el Parque edita desde el panel.</w:t>
      </w:r>
    </w:p>
    <w:p>
      <w:pPr>
        <w:spacing w:after="100"/>
      </w:pPr>
    </w:p>
    <w:tbl>
      <w:tblPr>
        <w:tblW w:type="dxa" w:w="9360"/>
        <w:tblBorders>
          <w:top w:val="none"/>
          <w:left w:val="single" w:color="2F6123" w:sz="18"/>
          <w:bottom w:val="none"/>
          <w:right w:val="none"/>
          <w:insideH w:val="none"/>
          <w:insideV w:val="none"/>
        </w:tblBorders>
      </w:tblPr>
      <w:tblGrid>
        <w:gridCol w:w="9360"/>
      </w:tblGrid>
      <w:tr>
        <w:tc>
          <w:tcPr>
            <w:tcW w:type="dxa" w:w="9360"/>
            <w:shd w:fill="EEF5E7" w:val="clear"/>
            <w:tcMar>
              <w:top w:type="dxa" w:w="140"/>
              <w:left w:type="dxa" w:w="200"/>
              <w:bottom w:type="dxa" w:w="140"/>
              <w:right w:type="dxa" w:w="200"/>
            </w:tcMar>
          </w:tcPr>
          <w:p>
            <w:pPr>
              <w:spacing w:after="60"/>
            </w:pPr>
            <w:r>
              <w:rPr>
                <w:b/>
                <w:bCs/>
                <w:color w:val="2F6123"/>
                <w:sz w:val="21"/>
                <w:szCs w:val="21"/>
              </w:rPr>
              <w:t xml:space="preserve">De esto depende que las reservas funcionen</w:t>
            </w:r>
          </w:p>
          <w:p>
            <w:r>
              <w:rPr>
                <w:color w:val="333330"/>
                <w:sz w:val="20"/>
                <w:szCs w:val="20"/>
              </w:rPr>
              <w:t xml:space="preserve">Quien solicita un espacio no sabe si lo tiene hasta que le llega la respuesta. Si el correo falla, el sistema entero deja de cumplir lo que promete. Por eso está construido para avisar en la bandeja cuando un envío no sale, en vez de darlo por hecho.</w:t>
            </w:r>
          </w:p>
        </w:tc>
      </w:tr>
    </w:tbl>
    <w:p>
      <w:pPr>
        <w:spacing w:after="160"/>
      </w:pPr>
    </w:p>
    <w:p>
      <w:pPr>
        <w:pStyle w:val="Heading2"/>
        <w:spacing w:after="120" w:before="300"/>
      </w:pPr>
      <w:r>
        <w:rPr>
          <w:b/>
          <w:bCs/>
          <w:color w:val="2F6123"/>
          <w:sz w:val="24"/>
          <w:szCs w:val="24"/>
        </w:rPr>
        <w:t xml:space="preserve">2. Qué pasó con el camino anterior</w:t>
      </w:r>
    </w:p>
    <w:p>
      <w:pPr>
        <w:spacing w:after="120" w:line="276"/>
      </w:pPr>
      <w:r>
        <w:rPr>
          <w:b w:val="false"/>
          <w:bCs w:val="false"/>
          <w:color w:val="333330"/>
          <w:sz w:val="21"/>
          <w:szCs w:val="21"/>
        </w:rPr>
        <w:t xml:space="preserve">El plan original era mandar los correos desde la cuenta de Gmail del Parque, conectándose por SMTP, que es la vía habitual. Para eso hacía falta una clave de aplicación, y ese era el trámite que pedía el documento de agosto.</w:t>
      </w:r>
    </w:p>
    <w:p>
      <w:pPr>
        <w:spacing w:after="120" w:line="276"/>
      </w:pPr>
      <w:r>
        <w:rPr>
          <w:b w:val="false"/>
          <w:bCs w:val="false"/>
          <w:color w:val="333330"/>
          <w:sz w:val="21"/>
          <w:szCs w:val="21"/>
        </w:rPr>
        <w:t xml:space="preserve">*No funcionó, y no por configuración. El servidor donde está alojado el sitio bloquea la salida por SMTP* en el plan contratado. Es una restricción de la plataforma: ninguna credencial, ninguna cuenta y ninguna configuración la sortean.</w:t>
      </w:r>
    </w:p>
    <w:p>
      <w:pPr>
        <w:spacing w:after="120" w:line="276"/>
      </w:pPr>
      <w:r>
        <w:rPr>
          <w:b w:val="false"/>
          <w:bCs w:val="false"/>
          <w:color w:val="333330"/>
          <w:sz w:val="21"/>
          <w:szCs w:val="21"/>
        </w:rPr>
        <w:t xml:space="preserve">Se perdieron varios intentos persiguiendo lo que parecía un problema de credenciales antes de dar con la causa.</w:t>
      </w:r>
    </w:p>
    <w:p>
      <w:pPr>
        <w:spacing w:after="120" w:line="276"/>
      </w:pPr>
      <w:r>
        <w:rPr>
          <w:b w:val="false"/>
          <w:bCs w:val="false"/>
          <w:color w:val="333330"/>
          <w:sz w:val="21"/>
          <w:szCs w:val="21"/>
        </w:rPr>
        <w:t xml:space="preserve">*La solución fue cambiar de vía:* el sitio manda los correos a través de un servicio externo por HTTPS, que es el puerto de siempre y nunca está bloqueado. Funciona y está verificado.</w:t>
      </w:r>
    </w:p>
    <w:p>
      <w:pPr>
        <w:pStyle w:val="Heading2"/>
        <w:spacing w:after="120" w:before="300"/>
      </w:pPr>
      <w:r>
        <w:rPr>
          <w:b/>
          <w:bCs/>
          <w:color w:val="2F6123"/>
          <w:sz w:val="24"/>
          <w:szCs w:val="24"/>
        </w:rPr>
        <w:t xml:space="preserve">3. Dónde está el problema hoy</w:t>
      </w:r>
    </w:p>
    <w:p>
      <w:pPr>
        <w:spacing w:after="120" w:line="276"/>
      </w:pPr>
      <w:r>
        <w:rPr>
          <w:b w:val="false"/>
          <w:bCs w:val="false"/>
          <w:color w:val="333330"/>
          <w:sz w:val="21"/>
          <w:szCs w:val="21"/>
        </w:rPr>
        <w:t xml:space="preserve">El servicio de correo funciona, pero *está registrado a nombre de una cuenta personal del equipo de desarrollo*, y los correos salen desde esa dirección.</w:t>
      </w:r>
    </w:p>
    <w:p>
      <w:pPr>
        <w:spacing w:after="120" w:line="276"/>
      </w:pPr>
      <w:r>
        <w:rPr>
          <w:b w:val="false"/>
          <w:bCs w:val="false"/>
          <w:color w:val="333330"/>
          <w:sz w:val="21"/>
          <w:szCs w:val="21"/>
        </w:rPr>
        <w:t xml:space="preserve">Para quien los recibe, un correo del Parque que llega desde una dirección personal de Gmail:</w:t>
      </w:r>
    </w:p>
    <w:p>
      <w:pPr>
        <w:pStyle w:val="ListParagraph"/>
        <w:numPr>
          <w:ilvl w:val="0"/>
          <w:numId w:val="2"/>
        </w:numPr>
        <w:spacing w:after="70" w:line="276"/>
      </w:pPr>
      <w:r>
        <w:rPr>
          <w:color w:val="333330"/>
          <w:sz w:val="21"/>
          <w:szCs w:val="21"/>
        </w:rPr>
        <w:t xml:space="preserve">Se ve poco institucional.</w:t>
      </w:r>
    </w:p>
    <w:p>
      <w:pPr>
        <w:pStyle w:val="ListParagraph"/>
        <w:numPr>
          <w:ilvl w:val="0"/>
          <w:numId w:val="2"/>
        </w:numPr>
        <w:spacing w:after="70" w:line="276"/>
      </w:pPr>
      <w:r>
        <w:rPr>
          <w:color w:val="333330"/>
          <w:sz w:val="21"/>
          <w:szCs w:val="21"/>
        </w:rPr>
        <w:t xml:space="preserve">Tiene más probabilidad de acabar en la carpeta de correo no deseado.</w:t>
      </w:r>
    </w:p>
    <w:p>
      <w:pPr>
        <w:pStyle w:val="ListParagraph"/>
        <w:numPr>
          <w:ilvl w:val="0"/>
          <w:numId w:val="2"/>
        </w:numPr>
        <w:spacing w:after="70" w:line="276"/>
      </w:pPr>
      <w:r>
        <w:rPr>
          <w:color w:val="333330"/>
          <w:sz w:val="21"/>
          <w:szCs w:val="21"/>
        </w:rPr>
        <w:t xml:space="preserve">Deja al Parque dependiendo de una cuenta que no controla.</w:t>
      </w:r>
    </w:p>
    <w:p>
      <w:pPr>
        <w:spacing w:after="120" w:line="276"/>
      </w:pPr>
      <w:r>
        <w:rPr>
          <w:b w:val="false"/>
          <w:bCs w:val="false"/>
          <w:color w:val="333330"/>
          <w:sz w:val="21"/>
          <w:szCs w:val="21"/>
        </w:rPr>
        <w:t xml:space="preserve">*Funciona, pero no es sostenible cuando el sitio se abra al público.*</w:t>
      </w:r>
    </w:p>
    <w:p>
      <w:pPr>
        <w:pStyle w:val="Heading2"/>
        <w:spacing w:after="120" w:before="300"/>
      </w:pPr>
      <w:r>
        <w:rPr>
          <w:b/>
          <w:bCs/>
          <w:color w:val="2F6123"/>
          <w:sz w:val="24"/>
          <w:szCs w:val="24"/>
        </w:rPr>
        <w:t xml:space="preserve">4. Qué hace falta</w:t>
      </w:r>
    </w:p>
    <w:p>
      <w:pPr>
        <w:spacing w:after="120" w:line="276"/>
      </w:pPr>
      <w:r>
        <w:rPr>
          <w:b w:val="false"/>
          <w:bCs w:val="false"/>
          <w:color w:val="333330"/>
          <w:sz w:val="21"/>
          <w:szCs w:val="21"/>
        </w:rPr>
        <w:t xml:space="preserve">Dos gestiones, y ninguna requiere trabajo de nuestra parte hasta que estén hechas.</w:t>
      </w:r>
    </w:p>
    <w:p>
      <w:pPr>
        <w:pStyle w:val="Heading3"/>
        <w:spacing w:after="90" w:before="220"/>
      </w:pPr>
      <w:r>
        <w:rPr>
          <w:b/>
          <w:bCs/>
          <w:color w:val="1A1A18"/>
          <w:sz w:val="22"/>
          <w:szCs w:val="22"/>
        </w:rPr>
        <w:t xml:space="preserve">4.1 Pasar la cuenta del servicio de correo al Parque</w:t>
      </w:r>
    </w:p>
    <w:p>
      <w:pPr>
        <w:spacing w:after="120" w:line="276"/>
      </w:pPr>
      <w:r>
        <w:rPr>
          <w:b w:val="false"/>
          <w:bCs w:val="false"/>
          <w:color w:val="333330"/>
          <w:sz w:val="21"/>
          <w:szCs w:val="21"/>
        </w:rPr>
        <w:t xml:space="preserve">Hoy la cuenta está a nombre personal. Debe estar a nombre del Parque, con un correo institucional, para que el Parque conserve el control aunque cambie el equipo de desarrollo.</w:t>
      </w:r>
    </w:p>
    <w:p>
      <w:pPr>
        <w:spacing w:after="120" w:line="276"/>
      </w:pPr>
      <w:r>
        <w:rPr>
          <w:b w:val="false"/>
          <w:bCs w:val="false"/>
          <w:color w:val="333330"/>
          <w:sz w:val="21"/>
          <w:szCs w:val="21"/>
        </w:rPr>
        <w:t xml:space="preserve">*Qué necesitamos:* que el Parque indique con qué dirección institucional quiere abrirla.</w:t>
      </w:r>
    </w:p>
    <w:p>
      <w:pPr>
        <w:pStyle w:val="Heading3"/>
        <w:spacing w:after="90" w:before="220"/>
      </w:pPr>
      <w:r>
        <w:rPr>
          <w:b/>
          <w:bCs/>
          <w:color w:val="1A1A18"/>
          <w:sz w:val="22"/>
          <w:szCs w:val="22"/>
        </w:rPr>
        <w:t xml:space="preserve">4.2 Verificar el dominio del Parque en ese servicio</w:t>
      </w:r>
    </w:p>
    <w:p>
      <w:pPr>
        <w:spacing w:after="120" w:line="276"/>
      </w:pPr>
      <w:r>
        <w:rPr>
          <w:b w:val="false"/>
          <w:bCs w:val="false"/>
          <w:color w:val="333330"/>
          <w:sz w:val="21"/>
          <w:szCs w:val="21"/>
        </w:rPr>
        <w:t xml:space="preserve">Es lo que permite que los correos salgan *desde una dirección del Parque* y no desde una personal. Consiste en añadir unos registros en la configuración del dominio: se hace una vez y se olvida.</w:t>
      </w:r>
    </w:p>
    <w:p>
      <w:pPr>
        <w:spacing w:after="120" w:line="276"/>
      </w:pPr>
      <w:r>
        <w:rPr>
          <w:b w:val="false"/>
          <w:bCs w:val="false"/>
          <w:color w:val="333330"/>
          <w:sz w:val="21"/>
          <w:szCs w:val="21"/>
        </w:rPr>
        <w:t xml:space="preserve">*Qué necesitamos:* acceso a la configuración del dominio, o que quien lo administre añada los registros que le indiquemos.</w:t>
      </w:r>
    </w:p>
    <w:p>
      <w:pPr>
        <w:spacing w:after="100"/>
      </w:pPr>
    </w:p>
    <w:tbl>
      <w:tblPr>
        <w:tblW w:type="dxa" w:w="9360"/>
        <w:tblBorders>
          <w:top w:val="none"/>
          <w:left w:val="single" w:color="2F6123" w:sz="18"/>
          <w:bottom w:val="none"/>
          <w:right w:val="none"/>
          <w:insideH w:val="none"/>
          <w:insideV w:val="none"/>
        </w:tblBorders>
      </w:tblPr>
      <w:tblGrid>
        <w:gridCol w:w="9360"/>
      </w:tblGrid>
      <w:tr>
        <w:tc>
          <w:tcPr>
            <w:tcW w:type="dxa" w:w="9360"/>
            <w:shd w:fill="EEF5E7" w:val="clear"/>
            <w:tcMar>
              <w:top w:type="dxa" w:w="140"/>
              <w:left w:type="dxa" w:w="200"/>
              <w:bottom w:type="dxa" w:w="140"/>
              <w:right w:type="dxa" w:w="200"/>
            </w:tcMar>
          </w:tcPr>
          <w:p>
            <w:pPr>
              <w:spacing w:after="60"/>
            </w:pPr>
            <w:r>
              <w:rPr>
                <w:b/>
                <w:bCs/>
                <w:color w:val="2F6123"/>
                <w:sz w:val="21"/>
                <w:szCs w:val="21"/>
              </w:rPr>
              <w:t xml:space="preserve">Esto está esperando desde hace semanas</w:t>
            </w:r>
          </w:p>
          <w:p>
            <w:r>
              <w:rPr>
                <w:color w:val="333330"/>
                <w:sz w:val="20"/>
                <w:szCs w:val="20"/>
              </w:rPr>
              <w:t xml:space="preserve">No es un trabajo pendiente nuestro: es un acceso que todavía no hemos recibido. Mientras no llegue, los correos seguirán saliendo desde la cuenta personal.</w:t>
            </w:r>
          </w:p>
        </w:tc>
      </w:tr>
    </w:tbl>
    <w:p>
      <w:pPr>
        <w:spacing w:after="160"/>
      </w:pPr>
    </w:p>
    <w:p>
      <w:pPr>
        <w:pStyle w:val="Heading2"/>
        <w:spacing w:after="120" w:before="300"/>
      </w:pPr>
      <w:r>
        <w:rPr>
          <w:b/>
          <w:bCs/>
          <w:color w:val="2F6123"/>
          <w:sz w:val="24"/>
          <w:szCs w:val="24"/>
        </w:rPr>
        <w:t xml:space="preserve">5. Qué NO hace falta</w:t>
      </w:r>
    </w:p>
    <w:p>
      <w:pPr>
        <w:spacing w:after="120" w:line="276"/>
      </w:pPr>
      <w:r>
        <w:rPr>
          <w:b w:val="false"/>
          <w:bCs w:val="false"/>
          <w:color w:val="333330"/>
          <w:sz w:val="21"/>
          <w:szCs w:val="21"/>
        </w:rPr>
        <w:t xml:space="preserve">Para evitar que alguien repita el camino que ya no sirve:</w:t>
      </w:r>
    </w:p>
    <w:p>
      <w:pPr>
        <w:pStyle w:val="ListParagraph"/>
        <w:numPr>
          <w:ilvl w:val="0"/>
          <w:numId w:val="2"/>
        </w:numPr>
        <w:spacing w:after="70" w:line="276"/>
      </w:pPr>
      <w:r>
        <w:rPr>
          <w:color w:val="333330"/>
          <w:sz w:val="21"/>
          <w:szCs w:val="21"/>
        </w:rPr>
        <w:t xml:space="preserve">*No hace falta una clave de aplicación de Gmail.* Era para SMTP, que está bloqueado.</w:t>
      </w:r>
    </w:p>
    <w:p>
      <w:pPr>
        <w:pStyle w:val="ListParagraph"/>
        <w:numPr>
          <w:ilvl w:val="0"/>
          <w:numId w:val="2"/>
        </w:numPr>
        <w:spacing w:after="70" w:line="276"/>
      </w:pPr>
      <w:r>
        <w:rPr>
          <w:color w:val="333330"/>
          <w:sz w:val="21"/>
          <w:szCs w:val="21"/>
        </w:rPr>
        <w:t xml:space="preserve">*No hace falta cambiar de proveedor de correo* ni contratar nada nuevo.</w:t>
      </w:r>
    </w:p>
    <w:p>
      <w:pPr>
        <w:pStyle w:val="ListParagraph"/>
        <w:numPr>
          <w:ilvl w:val="0"/>
          <w:numId w:val="2"/>
        </w:numPr>
        <w:spacing w:after="70" w:line="276"/>
      </w:pPr>
      <w:r>
        <w:rPr>
          <w:color w:val="333330"/>
          <w:sz w:val="21"/>
          <w:szCs w:val="21"/>
        </w:rPr>
        <w:t xml:space="preserve">*No hace falta tocar la cuenta asistentepcs@gmail.com para que el sitio funcione. Esa dirección sigue siendo la que recibe* los mensajes del formulario, y eso no cambia.</w:t>
      </w:r>
    </w:p>
    <w:p>
      <w:pPr>
        <w:pStyle w:val="Heading2"/>
        <w:spacing w:after="120" w:before="300"/>
      </w:pPr>
      <w:r>
        <w:rPr>
          <w:b/>
          <w:bCs/>
          <w:color w:val="2F6123"/>
          <w:sz w:val="24"/>
          <w:szCs w:val="24"/>
        </w:rPr>
        <w:t xml:space="preserve">6. Resumen</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Cosa</w:t>
            </w:r>
          </w:p>
        </w:tc>
        <w:tc>
          <w:tcPr>
            <w:tcW w:type="dxa" w:w="5429"/>
            <w:shd w:fill="F5F5F2" w:val="clear"/>
            <w:tcMar>
              <w:top w:type="dxa" w:w="85"/>
              <w:left w:type="dxa" w:w="130"/>
              <w:bottom w:type="dxa" w:w="85"/>
              <w:right w:type="dxa" w:w="130"/>
            </w:tcMar>
          </w:tcPr>
          <w:p>
            <w:r>
              <w:rPr>
                <w:b/>
                <w:bCs/>
                <w:color w:val="5A5A56"/>
                <w:sz w:val="18"/>
                <w:szCs w:val="18"/>
              </w:rPr>
              <w:t xml:space="preserve">Estado</w:t>
            </w:r>
          </w:p>
        </w:tc>
      </w:tr>
      <w:tr>
        <w:tc>
          <w:tcPr>
            <w:tcW w:type="dxa" w:w="3931"/>
            <w:tcMar>
              <w:top w:type="dxa" w:w="85"/>
              <w:left w:type="dxa" w:w="130"/>
              <w:bottom w:type="dxa" w:w="85"/>
              <w:right w:type="dxa" w:w="130"/>
            </w:tcMar>
          </w:tcPr>
          <w:p>
            <w:r>
              <w:rPr>
                <w:b/>
                <w:bCs/>
                <w:color w:val="333330"/>
                <w:sz w:val="20"/>
                <w:szCs w:val="20"/>
              </w:rPr>
              <w:t xml:space="preserve">El sitio manda correos</w:t>
            </w:r>
          </w:p>
        </w:tc>
        <w:tc>
          <w:tcPr>
            <w:tcW w:type="dxa" w:w="5429"/>
            <w:tcMar>
              <w:top w:type="dxa" w:w="85"/>
              <w:left w:type="dxa" w:w="130"/>
              <w:bottom w:type="dxa" w:w="85"/>
              <w:right w:type="dxa" w:w="130"/>
            </w:tcMar>
          </w:tcPr>
          <w:p>
            <w:r>
              <w:rPr>
                <w:b w:val="false"/>
                <w:bCs w:val="false"/>
                <w:color w:val="333330"/>
                <w:sz w:val="20"/>
                <w:szCs w:val="20"/>
              </w:rPr>
              <w:t xml:space="preserve">*Funcionando y verificado*</w:t>
            </w:r>
          </w:p>
        </w:tc>
      </w:tr>
      <w:tr>
        <w:tc>
          <w:tcPr>
            <w:tcW w:type="dxa" w:w="3931"/>
            <w:tcMar>
              <w:top w:type="dxa" w:w="85"/>
              <w:left w:type="dxa" w:w="130"/>
              <w:bottom w:type="dxa" w:w="85"/>
              <w:right w:type="dxa" w:w="130"/>
            </w:tcMar>
          </w:tcPr>
          <w:p>
            <w:r>
              <w:rPr>
                <w:b/>
                <w:bCs/>
                <w:color w:val="333330"/>
                <w:sz w:val="20"/>
                <w:szCs w:val="20"/>
              </w:rPr>
              <w:t xml:space="preserve">Salen desde</w:t>
            </w:r>
          </w:p>
        </w:tc>
        <w:tc>
          <w:tcPr>
            <w:tcW w:type="dxa" w:w="5429"/>
            <w:tcMar>
              <w:top w:type="dxa" w:w="85"/>
              <w:left w:type="dxa" w:w="130"/>
              <w:bottom w:type="dxa" w:w="85"/>
              <w:right w:type="dxa" w:w="130"/>
            </w:tcMar>
          </w:tcPr>
          <w:p>
            <w:r>
              <w:rPr>
                <w:b w:val="false"/>
                <w:bCs w:val="false"/>
                <w:color w:val="333330"/>
                <w:sz w:val="20"/>
                <w:szCs w:val="20"/>
              </w:rPr>
              <w:t xml:space="preserve">Una cuenta personal del equipo de desarrollo</w:t>
            </w:r>
          </w:p>
        </w:tc>
      </w:tr>
      <w:tr>
        <w:tc>
          <w:tcPr>
            <w:tcW w:type="dxa" w:w="3931"/>
            <w:tcMar>
              <w:top w:type="dxa" w:w="85"/>
              <w:left w:type="dxa" w:w="130"/>
              <w:bottom w:type="dxa" w:w="85"/>
              <w:right w:type="dxa" w:w="130"/>
            </w:tcMar>
          </w:tcPr>
          <w:p>
            <w:r>
              <w:rPr>
                <w:b/>
                <w:bCs/>
                <w:color w:val="333330"/>
                <w:sz w:val="20"/>
                <w:szCs w:val="20"/>
              </w:rPr>
              <w:t xml:space="preserve">Llegan al Parque</w:t>
            </w:r>
          </w:p>
        </w:tc>
        <w:tc>
          <w:tcPr>
            <w:tcW w:type="dxa" w:w="5429"/>
            <w:tcMar>
              <w:top w:type="dxa" w:w="85"/>
              <w:left w:type="dxa" w:w="130"/>
              <w:bottom w:type="dxa" w:w="85"/>
              <w:right w:type="dxa" w:w="130"/>
            </w:tcMar>
          </w:tcPr>
          <w:p>
            <w:r>
              <w:rPr>
                <w:b w:val="false"/>
                <w:bCs w:val="false"/>
                <w:color w:val="333330"/>
                <w:sz w:val="20"/>
                <w:szCs w:val="20"/>
              </w:rPr>
              <w:t xml:space="preserve">Sí, a asistentepcs@gmail.com</w:t>
            </w:r>
          </w:p>
        </w:tc>
      </w:tr>
      <w:tr>
        <w:tc>
          <w:tcPr>
            <w:tcW w:type="dxa" w:w="3931"/>
            <w:tcMar>
              <w:top w:type="dxa" w:w="85"/>
              <w:left w:type="dxa" w:w="130"/>
              <w:bottom w:type="dxa" w:w="85"/>
              <w:right w:type="dxa" w:w="130"/>
            </w:tcMar>
          </w:tcPr>
          <w:p>
            <w:r>
              <w:rPr>
                <w:b/>
                <w:bCs/>
                <w:color w:val="333330"/>
                <w:sz w:val="20"/>
                <w:szCs w:val="20"/>
              </w:rPr>
              <w:t xml:space="preserve">Cuenta del servicio a nombre del Parque</w:t>
            </w:r>
          </w:p>
        </w:tc>
        <w:tc>
          <w:tcPr>
            <w:tcW w:type="dxa" w:w="5429"/>
            <w:tcMar>
              <w:top w:type="dxa" w:w="85"/>
              <w:left w:type="dxa" w:w="130"/>
              <w:bottom w:type="dxa" w:w="85"/>
              <w:right w:type="dxa" w:w="130"/>
            </w:tcMar>
          </w:tcPr>
          <w:p>
            <w:r>
              <w:rPr>
                <w:b w:val="false"/>
                <w:bCs w:val="false"/>
                <w:color w:val="333330"/>
                <w:sz w:val="20"/>
                <w:szCs w:val="20"/>
              </w:rPr>
              <w:t xml:space="preserve">*Pendiente* — falta que el Parque indique la dirección</w:t>
            </w:r>
          </w:p>
        </w:tc>
      </w:tr>
      <w:tr>
        <w:tc>
          <w:tcPr>
            <w:tcW w:type="dxa" w:w="3931"/>
            <w:tcMar>
              <w:top w:type="dxa" w:w="85"/>
              <w:left w:type="dxa" w:w="130"/>
              <w:bottom w:type="dxa" w:w="85"/>
              <w:right w:type="dxa" w:w="130"/>
            </w:tcMar>
          </w:tcPr>
          <w:p>
            <w:r>
              <w:rPr>
                <w:b/>
                <w:bCs/>
                <w:color w:val="333330"/>
                <w:sz w:val="20"/>
                <w:szCs w:val="20"/>
              </w:rPr>
              <w:t xml:space="preserve">Correos desde el dominio del Parque</w:t>
            </w:r>
          </w:p>
        </w:tc>
        <w:tc>
          <w:tcPr>
            <w:tcW w:type="dxa" w:w="5429"/>
            <w:tcMar>
              <w:top w:type="dxa" w:w="85"/>
              <w:left w:type="dxa" w:w="130"/>
              <w:bottom w:type="dxa" w:w="85"/>
              <w:right w:type="dxa" w:w="130"/>
            </w:tcMar>
          </w:tcPr>
          <w:p>
            <w:r>
              <w:rPr>
                <w:b w:val="false"/>
                <w:bCs w:val="false"/>
                <w:color w:val="333330"/>
                <w:sz w:val="20"/>
                <w:szCs w:val="20"/>
              </w:rPr>
              <w:t xml:space="preserve">*Pendiente* — falta acceso a la configuración del dominio</w:t>
            </w:r>
          </w:p>
        </w:tc>
      </w:tr>
    </w:tbl>
    <w:p>
      <w:pPr>
        <w:spacing w:after="160"/>
      </w:pP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2026-08-31T20:35:06.016Z</dcterms:created>
  <dcterms:modified xsi:type="dcterms:W3CDTF">2026-08-31T20:35:06.020Z</dcterms:modified>
</cp:coreProperties>
</file>

<file path=docProps/custom.xml><?xml version="1.0" encoding="utf-8"?>
<Properties xmlns="http://schemas.openxmlformats.org/officeDocument/2006/custom-properties" xmlns:vt="http://schemas.openxmlformats.org/officeDocument/2006/docPropsVTypes"/>
</file>