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F50" w:val="clear"/>
        <w:tabs>
          <w:tab w:val="right" w:pos="10466"/>
        </w:tabs>
        <w:spacing w:after="120" w:before="0"/>
      </w:pPr>
      <w:r>
        <w:rPr>
          <w:rFonts w:ascii="Arial" w:cs="Arial" w:eastAsia="Arial" w:hAnsi="Arial"/>
          <w:b w:val="false"/>
          <w:bCs w:val="false"/>
          <w:color w:val="A0BADE"/>
          <w:sz w:val="17"/>
          <w:szCs w:val="17"/>
        </w:rPr>
        <w:t xml:space="preserve">Version 2026.1  |  April 2026  |  Prepared by Jera Consulting (Pty) Ltd</w:t>
      </w:r>
      <w:r>
        <w:rPr>
          <w:rFonts w:ascii="Arial" w:cs="Arial" w:eastAsia="Arial" w:hAnsi="Arial"/>
          <w:b/>
          <w:bCs/>
          <w:color w:val="1B6FFF"/>
          <w:sz w:val="17"/>
          <w:szCs w:val="17"/>
        </w:rPr>
        <w:t xml:space="preserve">	JERA-POL-HR002</w:t>
      </w:r>
    </w:p>
    <w:p>
      <w:pPr>
        <w:pStyle w:val="Heading1"/>
      </w:pPr>
      <w:r>
        <w:t xml:space="preserve">Code of Conduct</w:t>
      </w:r>
    </w:p>
    <w:p>
      <w:pPr>
        <w:spacing w:after="200" w:before="0"/>
        <w:jc w:val="center"/>
      </w:pPr>
      <w:r>
        <w:rPr>
          <w:rFonts w:ascii="Arial" w:cs="Arial" w:eastAsia="Arial" w:hAnsi="Arial"/>
          <w:color w:val="5A6A7A"/>
          <w:sz w:val="22"/>
          <w:szCs w:val="22"/>
        </w:rPr>
        <w:t xml:space="preserve">Jera Consulting (Pty) Ltd</w:t>
      </w:r>
    </w:p>
    <w:p>
      <w:pPr>
        <w:spacing w:after="20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2617"/>
        <w:gridCol w:w="2616"/>
      </w:tblGrid>
      <w:tr>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Approval</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Job Title / Role</w:t>
            </w:r>
          </w:p>
        </w:tc>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Signature &amp; 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5A6A7A"/>
                <w:sz w:val="18"/>
                <w:szCs w:val="18"/>
              </w:rPr>
              <w:t xml:space="preserve">Document Owner</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Operations</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5A6A7A"/>
                <w:sz w:val="18"/>
                <w:szCs w:val="18"/>
              </w:rPr>
              <w:t xml:space="preserve">Approved by</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Management</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bl>
    <w:p>
      <w:pPr>
        <w:spacing w:after="0" w:before="200"/>
      </w:pPr>
    </w:p>
    <w:p>
      <w:pPr>
        <w:pStyle w:val="Heading2"/>
      </w:pPr>
      <w:r>
        <w:t xml:space="preserve">1. Introduction</w:t>
      </w:r>
    </w:p>
    <w:p>
      <w:pPr>
        <w:spacing w:after="60" w:before="60"/>
      </w:pPr>
      <w:r>
        <w:rPr>
          <w:rFonts w:ascii="Arial" w:cs="Arial" w:eastAsia="Arial" w:hAnsi="Arial"/>
          <w:b w:val="false"/>
          <w:bCs w:val="false"/>
          <w:color w:val="3A4A5A"/>
          <w:sz w:val="22"/>
          <w:szCs w:val="22"/>
        </w:rPr>
        <w:t xml:space="preserve">This Code of Conduct establishes standards for professional behaviour expected of all employees, contractors, and representatives of Jera Consulting. It reflects our commitment to maintaining a professional, respectful, and productive workplace.</w:t>
      </w:r>
    </w:p>
    <w:p>
      <w:pPr>
        <w:pStyle w:val="Heading2"/>
      </w:pPr>
      <w:r>
        <w:t xml:space="preserve">2. Scope</w:t>
      </w:r>
    </w:p>
    <w:p>
      <w:pPr>
        <w:spacing w:after="60" w:before="60"/>
      </w:pPr>
      <w:r>
        <w:rPr>
          <w:rFonts w:ascii="Arial" w:cs="Arial" w:eastAsia="Arial" w:hAnsi="Arial"/>
          <w:b w:val="false"/>
          <w:bCs w:val="false"/>
          <w:color w:val="3A4A5A"/>
          <w:sz w:val="22"/>
          <w:szCs w:val="22"/>
        </w:rPr>
        <w:t xml:space="preserve">This policy applies to all employees, contractors, and representatives of Jera Consulting during working hours, at company events, and when conducting company business.</w:t>
      </w:r>
    </w:p>
    <w:p>
      <w:pPr>
        <w:pStyle w:val="Heading2"/>
      </w:pPr>
      <w:r>
        <w:t xml:space="preserve">3. General Behaviour</w:t>
      </w:r>
    </w:p>
    <w:p>
      <w:pPr>
        <w:spacing w:after="60" w:before="60"/>
      </w:pPr>
      <w:r>
        <w:rPr>
          <w:rFonts w:ascii="Arial" w:cs="Arial" w:eastAsia="Arial" w:hAnsi="Arial"/>
          <w:b w:val="false"/>
          <w:bCs w:val="false"/>
          <w:color w:val="3A4A5A"/>
          <w:sz w:val="22"/>
          <w:szCs w:val="22"/>
        </w:rPr>
        <w:t xml:space="preserve">All employees must conduct themselves professionally and respectfully:</w:t>
      </w:r>
    </w:p>
    <w:p>
      <w:pPr>
        <w:pStyle w:val="ListParagraph"/>
        <w:numPr>
          <w:ilvl w:val="0"/>
          <w:numId w:val="2"/>
        </w:numPr>
      </w:pPr>
      <w:r>
        <w:rPr>
          <w:rFonts w:ascii="Arial" w:cs="Arial" w:eastAsia="Arial" w:hAnsi="Arial"/>
          <w:color w:val="3A4A5A"/>
          <w:sz w:val="22"/>
          <w:szCs w:val="22"/>
        </w:rPr>
        <w:t xml:space="preserve">Treat all colleagues, clients, and stakeholders with dignity and respect.</w:t>
      </w:r>
    </w:p>
    <w:p>
      <w:pPr>
        <w:pStyle w:val="ListParagraph"/>
        <w:numPr>
          <w:ilvl w:val="0"/>
          <w:numId w:val="2"/>
        </w:numPr>
      </w:pPr>
      <w:r>
        <w:rPr>
          <w:rFonts w:ascii="Arial" w:cs="Arial" w:eastAsia="Arial" w:hAnsi="Arial"/>
          <w:color w:val="3A4A5A"/>
          <w:sz w:val="22"/>
          <w:szCs w:val="22"/>
        </w:rPr>
        <w:t xml:space="preserve">Arrive on time for work and scheduled commitments.</w:t>
      </w:r>
    </w:p>
    <w:p>
      <w:pPr>
        <w:pStyle w:val="ListParagraph"/>
        <w:numPr>
          <w:ilvl w:val="0"/>
          <w:numId w:val="2"/>
        </w:numPr>
      </w:pPr>
      <w:r>
        <w:rPr>
          <w:rFonts w:ascii="Arial" w:cs="Arial" w:eastAsia="Arial" w:hAnsi="Arial"/>
          <w:color w:val="3A4A5A"/>
          <w:sz w:val="22"/>
          <w:szCs w:val="22"/>
        </w:rPr>
        <w:t xml:space="preserve">Maintain a professional appearance and demeanour.</w:t>
      </w:r>
    </w:p>
    <w:p>
      <w:pPr>
        <w:pStyle w:val="ListParagraph"/>
        <w:numPr>
          <w:ilvl w:val="0"/>
          <w:numId w:val="2"/>
        </w:numPr>
      </w:pPr>
      <w:r>
        <w:rPr>
          <w:rFonts w:ascii="Arial" w:cs="Arial" w:eastAsia="Arial" w:hAnsi="Arial"/>
          <w:color w:val="3A4A5A"/>
          <w:sz w:val="22"/>
          <w:szCs w:val="22"/>
        </w:rPr>
        <w:t xml:space="preserve">Behave in a manner that reflects positively on Jera Consulting.</w:t>
      </w:r>
    </w:p>
    <w:p>
      <w:pPr>
        <w:pStyle w:val="ListParagraph"/>
        <w:numPr>
          <w:ilvl w:val="0"/>
          <w:numId w:val="2"/>
        </w:numPr>
      </w:pPr>
      <w:r>
        <w:rPr>
          <w:rFonts w:ascii="Arial" w:cs="Arial" w:eastAsia="Arial" w:hAnsi="Arial"/>
          <w:color w:val="3A4A5A"/>
          <w:sz w:val="22"/>
          <w:szCs w:val="22"/>
        </w:rPr>
        <w:t xml:space="preserve">Comply with all company policies and legal requirements.</w:t>
      </w:r>
    </w:p>
    <w:p>
      <w:pPr>
        <w:pStyle w:val="ListParagraph"/>
        <w:numPr>
          <w:ilvl w:val="0"/>
          <w:numId w:val="2"/>
        </w:numPr>
      </w:pPr>
      <w:r>
        <w:rPr>
          <w:rFonts w:ascii="Arial" w:cs="Arial" w:eastAsia="Arial" w:hAnsi="Arial"/>
          <w:color w:val="3A4A5A"/>
          <w:sz w:val="22"/>
          <w:szCs w:val="22"/>
        </w:rPr>
        <w:t xml:space="preserve">Refrain from conduct that is abusive, threatening, or offensive.</w:t>
      </w:r>
    </w:p>
    <w:p>
      <w:pPr>
        <w:pStyle w:val="Heading2"/>
      </w:pPr>
      <w:r>
        <w:t xml:space="preserve">4. Management Responsibility</w:t>
      </w:r>
    </w:p>
    <w:p>
      <w:pPr>
        <w:spacing w:after="60" w:before="60"/>
      </w:pPr>
      <w:r>
        <w:rPr>
          <w:rFonts w:ascii="Arial" w:cs="Arial" w:eastAsia="Arial" w:hAnsi="Arial"/>
          <w:b w:val="false"/>
          <w:bCs w:val="false"/>
          <w:color w:val="3A4A5A"/>
          <w:sz w:val="22"/>
          <w:szCs w:val="22"/>
        </w:rPr>
        <w:t xml:space="preserve">Managers have a duty to:</w:t>
      </w:r>
    </w:p>
    <w:p>
      <w:pPr>
        <w:pStyle w:val="ListParagraph"/>
        <w:numPr>
          <w:ilvl w:val="0"/>
          <w:numId w:val="2"/>
        </w:numPr>
      </w:pPr>
      <w:r>
        <w:rPr>
          <w:rFonts w:ascii="Arial" w:cs="Arial" w:eastAsia="Arial" w:hAnsi="Arial"/>
          <w:color w:val="3A4A5A"/>
          <w:sz w:val="22"/>
          <w:szCs w:val="22"/>
        </w:rPr>
        <w:t xml:space="preserve">Enforce this Code of Conduct consistently and fairly.</w:t>
      </w:r>
    </w:p>
    <w:p>
      <w:pPr>
        <w:pStyle w:val="ListParagraph"/>
        <w:numPr>
          <w:ilvl w:val="0"/>
          <w:numId w:val="2"/>
        </w:numPr>
      </w:pPr>
      <w:r>
        <w:rPr>
          <w:rFonts w:ascii="Arial" w:cs="Arial" w:eastAsia="Arial" w:hAnsi="Arial"/>
          <w:color w:val="3A4A5A"/>
          <w:sz w:val="22"/>
          <w:szCs w:val="22"/>
        </w:rPr>
        <w:t xml:space="preserve">Address misconduct promptly and appropriately.</w:t>
      </w:r>
    </w:p>
    <w:p>
      <w:pPr>
        <w:pStyle w:val="ListParagraph"/>
        <w:numPr>
          <w:ilvl w:val="0"/>
          <w:numId w:val="2"/>
        </w:numPr>
      </w:pPr>
      <w:r>
        <w:rPr>
          <w:rFonts w:ascii="Arial" w:cs="Arial" w:eastAsia="Arial" w:hAnsi="Arial"/>
          <w:color w:val="3A4A5A"/>
          <w:sz w:val="22"/>
          <w:szCs w:val="22"/>
        </w:rPr>
        <w:t xml:space="preserve">Model professional behaviour and ethical conduct.</w:t>
      </w:r>
    </w:p>
    <w:p>
      <w:pPr>
        <w:pStyle w:val="ListParagraph"/>
        <w:numPr>
          <w:ilvl w:val="0"/>
          <w:numId w:val="2"/>
        </w:numPr>
      </w:pPr>
      <w:r>
        <w:rPr>
          <w:rFonts w:ascii="Arial" w:cs="Arial" w:eastAsia="Arial" w:hAnsi="Arial"/>
          <w:color w:val="3A4A5A"/>
          <w:sz w:val="22"/>
          <w:szCs w:val="22"/>
        </w:rPr>
        <w:t xml:space="preserve">Provide clear expectations and feedback to employees.</w:t>
      </w:r>
    </w:p>
    <w:p>
      <w:pPr>
        <w:pStyle w:val="ListParagraph"/>
        <w:numPr>
          <w:ilvl w:val="0"/>
          <w:numId w:val="2"/>
        </w:numPr>
      </w:pPr>
      <w:r>
        <w:rPr>
          <w:rFonts w:ascii="Arial" w:cs="Arial" w:eastAsia="Arial" w:hAnsi="Arial"/>
          <w:color w:val="3A4A5A"/>
          <w:sz w:val="22"/>
          <w:szCs w:val="22"/>
        </w:rPr>
        <w:t xml:space="preserve">Create a safe and respectful working environment.</w:t>
      </w:r>
    </w:p>
    <w:p>
      <w:pPr>
        <w:pStyle w:val="Heading2"/>
      </w:pPr>
      <w:r>
        <w:t xml:space="preserve">5. Communication Lines</w:t>
      </w:r>
    </w:p>
    <w:p>
      <w:pPr>
        <w:spacing w:after="60" w:before="60"/>
      </w:pPr>
      <w:r>
        <w:rPr>
          <w:rFonts w:ascii="Arial" w:cs="Arial" w:eastAsia="Arial" w:hAnsi="Arial"/>
          <w:b w:val="false"/>
          <w:bCs w:val="false"/>
          <w:color w:val="3A4A5A"/>
          <w:sz w:val="22"/>
          <w:szCs w:val="22"/>
        </w:rPr>
        <w:t xml:space="preserve">Employees are expected to:</w:t>
      </w:r>
    </w:p>
    <w:p>
      <w:pPr>
        <w:pStyle w:val="ListParagraph"/>
        <w:numPr>
          <w:ilvl w:val="0"/>
          <w:numId w:val="2"/>
        </w:numPr>
      </w:pPr>
      <w:r>
        <w:rPr>
          <w:rFonts w:ascii="Arial" w:cs="Arial" w:eastAsia="Arial" w:hAnsi="Arial"/>
          <w:color w:val="3A4A5A"/>
          <w:sz w:val="22"/>
          <w:szCs w:val="22"/>
        </w:rPr>
        <w:t xml:space="preserve">Communicate respectfully and professionally in all interactions.</w:t>
      </w:r>
    </w:p>
    <w:p>
      <w:pPr>
        <w:pStyle w:val="ListParagraph"/>
        <w:numPr>
          <w:ilvl w:val="0"/>
          <w:numId w:val="2"/>
        </w:numPr>
      </w:pPr>
      <w:r>
        <w:rPr>
          <w:rFonts w:ascii="Arial" w:cs="Arial" w:eastAsia="Arial" w:hAnsi="Arial"/>
          <w:color w:val="3A4A5A"/>
          <w:sz w:val="22"/>
          <w:szCs w:val="22"/>
        </w:rPr>
        <w:t xml:space="preserve">Report concerns through appropriate channels (manager, HR, or confidential hotline).</w:t>
      </w:r>
    </w:p>
    <w:p>
      <w:pPr>
        <w:pStyle w:val="ListParagraph"/>
        <w:numPr>
          <w:ilvl w:val="0"/>
          <w:numId w:val="2"/>
        </w:numPr>
      </w:pPr>
      <w:r>
        <w:rPr>
          <w:rFonts w:ascii="Arial" w:cs="Arial" w:eastAsia="Arial" w:hAnsi="Arial"/>
          <w:color w:val="3A4A5A"/>
          <w:sz w:val="22"/>
          <w:szCs w:val="22"/>
        </w:rPr>
        <w:t xml:space="preserve">Avoid spreading rumours or unverified information.</w:t>
      </w:r>
    </w:p>
    <w:p>
      <w:pPr>
        <w:pStyle w:val="ListParagraph"/>
        <w:numPr>
          <w:ilvl w:val="0"/>
          <w:numId w:val="2"/>
        </w:numPr>
      </w:pPr>
      <w:r>
        <w:rPr>
          <w:rFonts w:ascii="Arial" w:cs="Arial" w:eastAsia="Arial" w:hAnsi="Arial"/>
          <w:color w:val="3A4A5A"/>
          <w:sz w:val="22"/>
          <w:szCs w:val="22"/>
        </w:rPr>
        <w:t xml:space="preserve">Participate constructively in meetings and discussions.</w:t>
      </w:r>
    </w:p>
    <w:p>
      <w:pPr>
        <w:pStyle w:val="Heading2"/>
      </w:pPr>
      <w:r>
        <w:t xml:space="preserve">6. Confidentiality</w:t>
      </w:r>
    </w:p>
    <w:p>
      <w:pPr>
        <w:spacing w:after="60" w:before="60"/>
      </w:pPr>
      <w:r>
        <w:rPr>
          <w:rFonts w:ascii="Arial" w:cs="Arial" w:eastAsia="Arial" w:hAnsi="Arial"/>
          <w:b w:val="false"/>
          <w:bCs w:val="false"/>
          <w:color w:val="3A4A5A"/>
          <w:sz w:val="22"/>
          <w:szCs w:val="22"/>
        </w:rPr>
        <w:t xml:space="preserve">Employees must maintain strict confidentiality of:</w:t>
      </w:r>
    </w:p>
    <w:p>
      <w:pPr>
        <w:pStyle w:val="ListParagraph"/>
        <w:numPr>
          <w:ilvl w:val="0"/>
          <w:numId w:val="2"/>
        </w:numPr>
      </w:pPr>
      <w:r>
        <w:rPr>
          <w:rFonts w:ascii="Arial" w:cs="Arial" w:eastAsia="Arial" w:hAnsi="Arial"/>
          <w:color w:val="3A4A5A"/>
          <w:sz w:val="22"/>
          <w:szCs w:val="22"/>
        </w:rPr>
        <w:t xml:space="preserve">Client information and business transactions.</w:t>
      </w:r>
    </w:p>
    <w:p>
      <w:pPr>
        <w:pStyle w:val="ListParagraph"/>
        <w:numPr>
          <w:ilvl w:val="0"/>
          <w:numId w:val="2"/>
        </w:numPr>
      </w:pPr>
      <w:r>
        <w:rPr>
          <w:rFonts w:ascii="Arial" w:cs="Arial" w:eastAsia="Arial" w:hAnsi="Arial"/>
          <w:color w:val="3A4A5A"/>
          <w:sz w:val="22"/>
          <w:szCs w:val="22"/>
        </w:rPr>
        <w:t xml:space="preserve">Company financial and operational information.</w:t>
      </w:r>
    </w:p>
    <w:p>
      <w:pPr>
        <w:pStyle w:val="ListParagraph"/>
        <w:numPr>
          <w:ilvl w:val="0"/>
          <w:numId w:val="2"/>
        </w:numPr>
      </w:pPr>
      <w:r>
        <w:rPr>
          <w:rFonts w:ascii="Arial" w:cs="Arial" w:eastAsia="Arial" w:hAnsi="Arial"/>
          <w:color w:val="3A4A5A"/>
          <w:sz w:val="22"/>
          <w:szCs w:val="22"/>
        </w:rPr>
        <w:t xml:space="preserve">Employee personal data and performance information.</w:t>
      </w:r>
    </w:p>
    <w:p>
      <w:pPr>
        <w:pStyle w:val="ListParagraph"/>
        <w:numPr>
          <w:ilvl w:val="0"/>
          <w:numId w:val="2"/>
        </w:numPr>
      </w:pPr>
      <w:r>
        <w:rPr>
          <w:rFonts w:ascii="Arial" w:cs="Arial" w:eastAsia="Arial" w:hAnsi="Arial"/>
          <w:color w:val="3A4A5A"/>
          <w:sz w:val="22"/>
          <w:szCs w:val="22"/>
        </w:rPr>
        <w:t xml:space="preserve">Trade secrets and proprietary knowledge.</w:t>
      </w:r>
    </w:p>
    <w:p>
      <w:pPr>
        <w:spacing w:after="60" w:before="60"/>
      </w:pPr>
      <w:r>
        <w:rPr>
          <w:rFonts w:ascii="Arial" w:cs="Arial" w:eastAsia="Arial" w:hAnsi="Arial"/>
          <w:b w:val="false"/>
          <w:bCs w:val="false"/>
          <w:color w:val="3A4A5A"/>
          <w:sz w:val="22"/>
          <w:szCs w:val="22"/>
        </w:rPr>
        <w:t xml:space="preserve">All employees must comply with the Protection of Personal Information Act (POPIA) when handling personal data. Unauthorised disclosure of confidential information may result in disciplinary action.</w:t>
      </w:r>
    </w:p>
    <w:p>
      <w:pPr>
        <w:pStyle w:val="Heading2"/>
      </w:pPr>
      <w:r>
        <w:t xml:space="preserve">7. Conflict of Interest</w:t>
      </w:r>
    </w:p>
    <w:p>
      <w:pPr>
        <w:spacing w:after="60" w:before="60"/>
      </w:pPr>
      <w:r>
        <w:rPr>
          <w:rFonts w:ascii="Arial" w:cs="Arial" w:eastAsia="Arial" w:hAnsi="Arial"/>
          <w:b w:val="false"/>
          <w:bCs w:val="false"/>
          <w:color w:val="3A4A5A"/>
          <w:sz w:val="22"/>
          <w:szCs w:val="22"/>
        </w:rPr>
        <w:t xml:space="preserve">Employees must disclose and manage conflicts of interest:</w:t>
      </w:r>
    </w:p>
    <w:p>
      <w:pPr>
        <w:pStyle w:val="ListParagraph"/>
        <w:numPr>
          <w:ilvl w:val="0"/>
          <w:numId w:val="2"/>
        </w:numPr>
      </w:pPr>
      <w:r>
        <w:rPr>
          <w:rFonts w:ascii="Arial" w:cs="Arial" w:eastAsia="Arial" w:hAnsi="Arial"/>
          <w:color w:val="3A4A5A"/>
          <w:sz w:val="22"/>
          <w:szCs w:val="22"/>
        </w:rPr>
        <w:t xml:space="preserve">Declare any personal financial interest in company transactions.</w:t>
      </w:r>
    </w:p>
    <w:p>
      <w:pPr>
        <w:pStyle w:val="ListParagraph"/>
        <w:numPr>
          <w:ilvl w:val="0"/>
          <w:numId w:val="2"/>
        </w:numPr>
      </w:pPr>
      <w:r>
        <w:rPr>
          <w:rFonts w:ascii="Arial" w:cs="Arial" w:eastAsia="Arial" w:hAnsi="Arial"/>
          <w:color w:val="3A4A5A"/>
          <w:sz w:val="22"/>
          <w:szCs w:val="22"/>
        </w:rPr>
        <w:t xml:space="preserve">Avoid situations where personal interests conflict with company business.</w:t>
      </w:r>
    </w:p>
    <w:p>
      <w:pPr>
        <w:pStyle w:val="ListParagraph"/>
        <w:numPr>
          <w:ilvl w:val="0"/>
          <w:numId w:val="2"/>
        </w:numPr>
      </w:pPr>
      <w:r>
        <w:rPr>
          <w:rFonts w:ascii="Arial" w:cs="Arial" w:eastAsia="Arial" w:hAnsi="Arial"/>
          <w:color w:val="3A4A5A"/>
          <w:sz w:val="22"/>
          <w:szCs w:val="22"/>
        </w:rPr>
        <w:t xml:space="preserve">Disclose relationships with competitors or suppliers.</w:t>
      </w:r>
    </w:p>
    <w:p>
      <w:pPr>
        <w:pStyle w:val="ListParagraph"/>
        <w:numPr>
          <w:ilvl w:val="0"/>
          <w:numId w:val="2"/>
        </w:numPr>
      </w:pPr>
      <w:r>
        <w:rPr>
          <w:rFonts w:ascii="Arial" w:cs="Arial" w:eastAsia="Arial" w:hAnsi="Arial"/>
          <w:color w:val="3A4A5A"/>
          <w:sz w:val="22"/>
          <w:szCs w:val="22"/>
        </w:rPr>
        <w:t xml:space="preserve">Seek manager approval before engaging in outside business activities.</w:t>
      </w:r>
    </w:p>
    <w:p>
      <w:pPr>
        <w:pStyle w:val="Heading2"/>
      </w:pPr>
      <w:r>
        <w:t xml:space="preserve">8. Collections</w:t>
      </w:r>
    </w:p>
    <w:p>
      <w:pPr>
        <w:spacing w:after="60" w:before="60"/>
      </w:pPr>
      <w:r>
        <w:rPr>
          <w:rFonts w:ascii="Arial" w:cs="Arial" w:eastAsia="Arial" w:hAnsi="Arial"/>
          <w:b w:val="false"/>
          <w:bCs w:val="false"/>
          <w:color w:val="3A4A5A"/>
          <w:sz w:val="22"/>
          <w:szCs w:val="22"/>
        </w:rPr>
        <w:t xml:space="preserve">Employees making collections for personal or charitable purposes:</w:t>
      </w:r>
    </w:p>
    <w:p>
      <w:pPr>
        <w:pStyle w:val="ListParagraph"/>
        <w:numPr>
          <w:ilvl w:val="0"/>
          <w:numId w:val="2"/>
        </w:numPr>
      </w:pPr>
      <w:r>
        <w:rPr>
          <w:rFonts w:ascii="Arial" w:cs="Arial" w:eastAsia="Arial" w:hAnsi="Arial"/>
          <w:color w:val="3A4A5A"/>
          <w:sz w:val="22"/>
          <w:szCs w:val="22"/>
        </w:rPr>
        <w:t xml:space="preserve">Must obtain manager approval in advance.</w:t>
      </w:r>
    </w:p>
    <w:p>
      <w:pPr>
        <w:pStyle w:val="ListParagraph"/>
        <w:numPr>
          <w:ilvl w:val="0"/>
          <w:numId w:val="2"/>
        </w:numPr>
      </w:pPr>
      <w:r>
        <w:rPr>
          <w:rFonts w:ascii="Arial" w:cs="Arial" w:eastAsia="Arial" w:hAnsi="Arial"/>
          <w:color w:val="3A4A5A"/>
          <w:sz w:val="22"/>
          <w:szCs w:val="22"/>
        </w:rPr>
        <w:t xml:space="preserve">Must not coerce or pressure colleagues to contribute.</w:t>
      </w:r>
    </w:p>
    <w:p>
      <w:pPr>
        <w:pStyle w:val="ListParagraph"/>
        <w:numPr>
          <w:ilvl w:val="0"/>
          <w:numId w:val="2"/>
        </w:numPr>
      </w:pPr>
      <w:r>
        <w:rPr>
          <w:rFonts w:ascii="Arial" w:cs="Arial" w:eastAsia="Arial" w:hAnsi="Arial"/>
          <w:color w:val="3A4A5A"/>
          <w:sz w:val="22"/>
          <w:szCs w:val="22"/>
        </w:rPr>
        <w:t xml:space="preserve">Must keep records and report usage of collected funds.</w:t>
      </w:r>
    </w:p>
    <w:p>
      <w:pPr>
        <w:pStyle w:val="ListParagraph"/>
        <w:numPr>
          <w:ilvl w:val="0"/>
          <w:numId w:val="2"/>
        </w:numPr>
      </w:pPr>
      <w:r>
        <w:rPr>
          <w:rFonts w:ascii="Arial" w:cs="Arial" w:eastAsia="Arial" w:hAnsi="Arial"/>
          <w:color w:val="3A4A5A"/>
          <w:sz w:val="22"/>
          <w:szCs w:val="22"/>
        </w:rPr>
        <w:t xml:space="preserve">May not conduct collections during work time in client areas.</w:t>
      </w:r>
    </w:p>
    <w:p>
      <w:pPr>
        <w:pStyle w:val="Heading2"/>
      </w:pPr>
      <w:r>
        <w:t xml:space="preserve">9. Visitors</w:t>
      </w:r>
    </w:p>
    <w:p>
      <w:pPr>
        <w:spacing w:after="60" w:before="60"/>
      </w:pPr>
      <w:r>
        <w:rPr>
          <w:rFonts w:ascii="Arial" w:cs="Arial" w:eastAsia="Arial" w:hAnsi="Arial"/>
          <w:b w:val="false"/>
          <w:bCs w:val="false"/>
          <w:color w:val="3A4A5A"/>
          <w:sz w:val="22"/>
          <w:szCs w:val="22"/>
        </w:rPr>
        <w:t xml:space="preserve">Employee responsibility for visitors includes:</w:t>
      </w:r>
    </w:p>
    <w:p>
      <w:pPr>
        <w:pStyle w:val="ListParagraph"/>
        <w:numPr>
          <w:ilvl w:val="0"/>
          <w:numId w:val="2"/>
        </w:numPr>
      </w:pPr>
      <w:r>
        <w:rPr>
          <w:rFonts w:ascii="Arial" w:cs="Arial" w:eastAsia="Arial" w:hAnsi="Arial"/>
          <w:color w:val="3A4A5A"/>
          <w:sz w:val="22"/>
          <w:szCs w:val="22"/>
        </w:rPr>
        <w:t xml:space="preserve">Ensuring visitors sign in and out at reception.</w:t>
      </w:r>
    </w:p>
    <w:p>
      <w:pPr>
        <w:pStyle w:val="ListParagraph"/>
        <w:numPr>
          <w:ilvl w:val="0"/>
          <w:numId w:val="2"/>
        </w:numPr>
      </w:pPr>
      <w:r>
        <w:rPr>
          <w:rFonts w:ascii="Arial" w:cs="Arial" w:eastAsia="Arial" w:hAnsi="Arial"/>
          <w:color w:val="3A4A5A"/>
          <w:sz w:val="22"/>
          <w:szCs w:val="22"/>
        </w:rPr>
        <w:t xml:space="preserve">Escorting visitors throughout the premises.</w:t>
      </w:r>
    </w:p>
    <w:p>
      <w:pPr>
        <w:pStyle w:val="ListParagraph"/>
        <w:numPr>
          <w:ilvl w:val="0"/>
          <w:numId w:val="2"/>
        </w:numPr>
      </w:pPr>
      <w:r>
        <w:rPr>
          <w:rFonts w:ascii="Arial" w:cs="Arial" w:eastAsia="Arial" w:hAnsi="Arial"/>
          <w:color w:val="3A4A5A"/>
          <w:sz w:val="22"/>
          <w:szCs w:val="22"/>
        </w:rPr>
        <w:t xml:space="preserve">Ensuring confidentiality and security protocols are maintained.</w:t>
      </w:r>
    </w:p>
    <w:p>
      <w:pPr>
        <w:pStyle w:val="ListParagraph"/>
        <w:numPr>
          <w:ilvl w:val="0"/>
          <w:numId w:val="2"/>
        </w:numPr>
      </w:pPr>
      <w:r>
        <w:rPr>
          <w:rFonts w:ascii="Arial" w:cs="Arial" w:eastAsia="Arial" w:hAnsi="Arial"/>
          <w:color w:val="3A4A5A"/>
          <w:sz w:val="22"/>
          <w:szCs w:val="22"/>
        </w:rPr>
        <w:t xml:space="preserve">Informing visitors of company rules and safety procedures.</w:t>
      </w:r>
    </w:p>
    <w:p>
      <w:pPr>
        <w:pStyle w:val="Heading2"/>
      </w:pPr>
      <w:r>
        <w:t xml:space="preserve">10. Weapons and Dangerous Items</w:t>
      </w:r>
    </w:p>
    <w:p>
      <w:pPr>
        <w:spacing w:after="60" w:before="60"/>
      </w:pPr>
      <w:r>
        <w:rPr>
          <w:rFonts w:ascii="Arial" w:cs="Arial" w:eastAsia="Arial" w:hAnsi="Arial"/>
          <w:b w:val="false"/>
          <w:bCs w:val="false"/>
          <w:color w:val="3A4A5A"/>
          <w:sz w:val="22"/>
          <w:szCs w:val="22"/>
        </w:rPr>
        <w:t xml:space="preserve">The possession of weapons, firearms, explosives, or dangerous items on company premises is strictly prohibited. This includes:</w:t>
      </w:r>
    </w:p>
    <w:p>
      <w:pPr>
        <w:pStyle w:val="ListParagraph"/>
        <w:numPr>
          <w:ilvl w:val="0"/>
          <w:numId w:val="2"/>
        </w:numPr>
      </w:pPr>
      <w:r>
        <w:rPr>
          <w:rFonts w:ascii="Arial" w:cs="Arial" w:eastAsia="Arial" w:hAnsi="Arial"/>
          <w:color w:val="3A4A5A"/>
          <w:sz w:val="22"/>
          <w:szCs w:val="22"/>
        </w:rPr>
        <w:t xml:space="preserve">Firearms, knives, or other weapons.</w:t>
      </w:r>
    </w:p>
    <w:p>
      <w:pPr>
        <w:pStyle w:val="ListParagraph"/>
        <w:numPr>
          <w:ilvl w:val="0"/>
          <w:numId w:val="2"/>
        </w:numPr>
      </w:pPr>
      <w:r>
        <w:rPr>
          <w:rFonts w:ascii="Arial" w:cs="Arial" w:eastAsia="Arial" w:hAnsi="Arial"/>
          <w:color w:val="3A4A5A"/>
          <w:sz w:val="22"/>
          <w:szCs w:val="22"/>
        </w:rPr>
        <w:t xml:space="preserve">Explosives or incendiary devices.</w:t>
      </w:r>
    </w:p>
    <w:p>
      <w:pPr>
        <w:pStyle w:val="ListParagraph"/>
        <w:numPr>
          <w:ilvl w:val="0"/>
          <w:numId w:val="2"/>
        </w:numPr>
      </w:pPr>
      <w:r>
        <w:rPr>
          <w:rFonts w:ascii="Arial" w:cs="Arial" w:eastAsia="Arial" w:hAnsi="Arial"/>
          <w:color w:val="3A4A5A"/>
          <w:sz w:val="22"/>
          <w:szCs w:val="22"/>
        </w:rPr>
        <w:t xml:space="preserve">Items that could be used as weapons.</w:t>
      </w:r>
    </w:p>
    <w:p>
      <w:pPr>
        <w:pStyle w:val="ListParagraph"/>
        <w:numPr>
          <w:ilvl w:val="0"/>
          <w:numId w:val="2"/>
        </w:numPr>
      </w:pPr>
      <w:r>
        <w:rPr>
          <w:rFonts w:ascii="Arial" w:cs="Arial" w:eastAsia="Arial" w:hAnsi="Arial"/>
          <w:color w:val="3A4A5A"/>
          <w:sz w:val="22"/>
          <w:szCs w:val="22"/>
        </w:rPr>
        <w:t xml:space="preserve">Illegal drugs or related paraphernalia.</w:t>
      </w:r>
    </w:p>
    <w:p>
      <w:pPr>
        <w:spacing w:after="60" w:before="60"/>
      </w:pPr>
      <w:r>
        <w:rPr>
          <w:rFonts w:ascii="Arial" w:cs="Arial" w:eastAsia="Arial" w:hAnsi="Arial"/>
          <w:b w:val="false"/>
          <w:bCs w:val="false"/>
          <w:color w:val="3A4A5A"/>
          <w:sz w:val="22"/>
          <w:szCs w:val="22"/>
        </w:rPr>
        <w:t xml:space="preserve">Violation of this prohibition will result in immediate disciplinary action and may result in dismissal.</w:t>
      </w:r>
    </w:p>
    <w:p>
      <w:pPr>
        <w:pStyle w:val="Heading2"/>
      </w:pPr>
      <w:r>
        <w:t xml:space="preserve">11. Political and Religious Rights</w:t>
      </w:r>
    </w:p>
    <w:p>
      <w:pPr>
        <w:spacing w:after="60" w:before="60"/>
      </w:pPr>
      <w:r>
        <w:rPr>
          <w:rFonts w:ascii="Arial" w:cs="Arial" w:eastAsia="Arial" w:hAnsi="Arial"/>
          <w:b w:val="false"/>
          <w:bCs w:val="false"/>
          <w:color w:val="3A4A5A"/>
          <w:sz w:val="22"/>
          <w:szCs w:val="22"/>
        </w:rPr>
        <w:t xml:space="preserve">Employees have the right to personal political and religious beliefs; however:</w:t>
      </w:r>
    </w:p>
    <w:p>
      <w:pPr>
        <w:pStyle w:val="ListParagraph"/>
        <w:numPr>
          <w:ilvl w:val="0"/>
          <w:numId w:val="2"/>
        </w:numPr>
      </w:pPr>
      <w:r>
        <w:rPr>
          <w:rFonts w:ascii="Arial" w:cs="Arial" w:eastAsia="Arial" w:hAnsi="Arial"/>
          <w:color w:val="3A4A5A"/>
          <w:sz w:val="22"/>
          <w:szCs w:val="22"/>
        </w:rPr>
        <w:t xml:space="preserve">Such beliefs must not be imposed on colleagues or clients.</w:t>
      </w:r>
    </w:p>
    <w:p>
      <w:pPr>
        <w:pStyle w:val="ListParagraph"/>
        <w:numPr>
          <w:ilvl w:val="0"/>
          <w:numId w:val="2"/>
        </w:numPr>
      </w:pPr>
      <w:r>
        <w:rPr>
          <w:rFonts w:ascii="Arial" w:cs="Arial" w:eastAsia="Arial" w:hAnsi="Arial"/>
          <w:color w:val="3A4A5A"/>
          <w:sz w:val="22"/>
          <w:szCs w:val="22"/>
        </w:rPr>
        <w:t xml:space="preserve">Company time and facilities must not be used for political or religious activities.</w:t>
      </w:r>
    </w:p>
    <w:p>
      <w:pPr>
        <w:pStyle w:val="ListParagraph"/>
        <w:numPr>
          <w:ilvl w:val="0"/>
          <w:numId w:val="2"/>
        </w:numPr>
      </w:pPr>
      <w:r>
        <w:rPr>
          <w:rFonts w:ascii="Arial" w:cs="Arial" w:eastAsia="Arial" w:hAnsi="Arial"/>
          <w:color w:val="3A4A5A"/>
          <w:sz w:val="22"/>
          <w:szCs w:val="22"/>
        </w:rPr>
        <w:t xml:space="preserve">Discuss these matters respectfully and only with willing participants.</w:t>
      </w:r>
    </w:p>
    <w:p>
      <w:pPr>
        <w:pStyle w:val="ListParagraph"/>
        <w:numPr>
          <w:ilvl w:val="0"/>
          <w:numId w:val="2"/>
        </w:numPr>
      </w:pPr>
      <w:r>
        <w:rPr>
          <w:rFonts w:ascii="Arial" w:cs="Arial" w:eastAsia="Arial" w:hAnsi="Arial"/>
          <w:color w:val="3A4A5A"/>
          <w:sz w:val="22"/>
          <w:szCs w:val="22"/>
        </w:rPr>
        <w:t xml:space="preserve">Maintain professional boundaries in the workplace.</w:t>
      </w:r>
    </w:p>
    <w:p>
      <w:pPr>
        <w:pStyle w:val="Heading2"/>
      </w:pPr>
      <w:r>
        <w:t xml:space="preserve">12. Notice Boards</w:t>
      </w:r>
    </w:p>
    <w:p>
      <w:pPr>
        <w:spacing w:after="60" w:before="60"/>
      </w:pPr>
      <w:r>
        <w:rPr>
          <w:rFonts w:ascii="Arial" w:cs="Arial" w:eastAsia="Arial" w:hAnsi="Arial"/>
          <w:b w:val="false"/>
          <w:bCs w:val="false"/>
          <w:color w:val="3A4A5A"/>
          <w:sz w:val="22"/>
          <w:szCs w:val="22"/>
        </w:rPr>
        <w:t xml:space="preserve">Notice boards are company property used to communicate official information:</w:t>
      </w:r>
    </w:p>
    <w:p>
      <w:pPr>
        <w:pStyle w:val="ListParagraph"/>
        <w:numPr>
          <w:ilvl w:val="0"/>
          <w:numId w:val="2"/>
        </w:numPr>
      </w:pPr>
      <w:r>
        <w:rPr>
          <w:rFonts w:ascii="Arial" w:cs="Arial" w:eastAsia="Arial" w:hAnsi="Arial"/>
          <w:color w:val="3A4A5A"/>
          <w:sz w:val="22"/>
          <w:szCs w:val="22"/>
        </w:rPr>
        <w:t xml:space="preserve">Only authorised management may post notices.</w:t>
      </w:r>
    </w:p>
    <w:p>
      <w:pPr>
        <w:pStyle w:val="ListParagraph"/>
        <w:numPr>
          <w:ilvl w:val="0"/>
          <w:numId w:val="2"/>
        </w:numPr>
      </w:pPr>
      <w:r>
        <w:rPr>
          <w:rFonts w:ascii="Arial" w:cs="Arial" w:eastAsia="Arial" w:hAnsi="Arial"/>
          <w:color w:val="3A4A5A"/>
          <w:sz w:val="22"/>
          <w:szCs w:val="22"/>
        </w:rPr>
        <w:t xml:space="preserve">Personal notices may be posted only in designated areas with approval.</w:t>
      </w:r>
    </w:p>
    <w:p>
      <w:pPr>
        <w:pStyle w:val="ListParagraph"/>
        <w:numPr>
          <w:ilvl w:val="0"/>
          <w:numId w:val="2"/>
        </w:numPr>
      </w:pPr>
      <w:r>
        <w:rPr>
          <w:rFonts w:ascii="Arial" w:cs="Arial" w:eastAsia="Arial" w:hAnsi="Arial"/>
          <w:color w:val="3A4A5A"/>
          <w:sz w:val="22"/>
          <w:szCs w:val="22"/>
        </w:rPr>
        <w:t xml:space="preserve">Defacing or removing official notices is prohibited.</w:t>
      </w:r>
    </w:p>
    <w:p>
      <w:pPr>
        <w:pStyle w:val="Heading2"/>
      </w:pPr>
      <w:r>
        <w:t xml:space="preserve">13. Damage or Loss of Property</w:t>
      </w:r>
    </w:p>
    <w:p>
      <w:pPr>
        <w:spacing w:after="60" w:before="60"/>
      </w:pPr>
      <w:r>
        <w:rPr>
          <w:rFonts w:ascii="Arial" w:cs="Arial" w:eastAsia="Arial" w:hAnsi="Arial"/>
          <w:b w:val="false"/>
          <w:bCs w:val="false"/>
          <w:color w:val="3A4A5A"/>
          <w:sz w:val="22"/>
          <w:szCs w:val="22"/>
        </w:rPr>
        <w:t xml:space="preserve">Employees are responsible for company and personal property:</w:t>
      </w:r>
    </w:p>
    <w:p>
      <w:pPr>
        <w:pStyle w:val="ListParagraph"/>
        <w:numPr>
          <w:ilvl w:val="0"/>
          <w:numId w:val="2"/>
        </w:numPr>
      </w:pPr>
      <w:r>
        <w:rPr>
          <w:rFonts w:ascii="Arial" w:cs="Arial" w:eastAsia="Arial" w:hAnsi="Arial"/>
          <w:color w:val="3A4A5A"/>
          <w:sz w:val="22"/>
          <w:szCs w:val="22"/>
        </w:rPr>
        <w:t xml:space="preserve">Report any damage to company property immediately to management.</w:t>
      </w:r>
    </w:p>
    <w:p>
      <w:pPr>
        <w:pStyle w:val="ListParagraph"/>
        <w:numPr>
          <w:ilvl w:val="0"/>
          <w:numId w:val="2"/>
        </w:numPr>
      </w:pPr>
      <w:r>
        <w:rPr>
          <w:rFonts w:ascii="Arial" w:cs="Arial" w:eastAsia="Arial" w:hAnsi="Arial"/>
          <w:color w:val="3A4A5A"/>
          <w:sz w:val="22"/>
          <w:szCs w:val="22"/>
        </w:rPr>
        <w:t xml:space="preserve">Report loss or theft of company equipment or materials.</w:t>
      </w:r>
    </w:p>
    <w:p>
      <w:pPr>
        <w:pStyle w:val="ListParagraph"/>
        <w:numPr>
          <w:ilvl w:val="0"/>
          <w:numId w:val="2"/>
        </w:numPr>
      </w:pPr>
      <w:r>
        <w:rPr>
          <w:rFonts w:ascii="Arial" w:cs="Arial" w:eastAsia="Arial" w:hAnsi="Arial"/>
          <w:color w:val="3A4A5A"/>
          <w:sz w:val="22"/>
          <w:szCs w:val="22"/>
        </w:rPr>
        <w:t xml:space="preserve">Employees may be held liable for damage caused by negligence or misuse.</w:t>
      </w:r>
    </w:p>
    <w:p>
      <w:pPr>
        <w:pStyle w:val="ListParagraph"/>
        <w:numPr>
          <w:ilvl w:val="0"/>
          <w:numId w:val="2"/>
        </w:numPr>
      </w:pPr>
      <w:r>
        <w:rPr>
          <w:rFonts w:ascii="Arial" w:cs="Arial" w:eastAsia="Arial" w:hAnsi="Arial"/>
          <w:color w:val="3A4A5A"/>
          <w:sz w:val="22"/>
          <w:szCs w:val="22"/>
        </w:rPr>
        <w:t xml:space="preserve">Lost or stolen items must be reported to management and, if applicable, law enforcement.</w:t>
      </w:r>
    </w:p>
    <w:p>
      <w:pPr>
        <w:pStyle w:val="Heading2"/>
      </w:pPr>
      <w:r>
        <w:t xml:space="preserve">14. Private Work and Moonlighting</w:t>
      </w:r>
    </w:p>
    <w:p>
      <w:pPr>
        <w:spacing w:after="60" w:before="60"/>
      </w:pPr>
      <w:r>
        <w:rPr>
          <w:rFonts w:ascii="Arial" w:cs="Arial" w:eastAsia="Arial" w:hAnsi="Arial"/>
          <w:b w:val="false"/>
          <w:bCs w:val="false"/>
          <w:color w:val="3A4A5A"/>
          <w:sz w:val="22"/>
          <w:szCs w:val="22"/>
        </w:rPr>
        <w:t xml:space="preserve">Employees engaging in private work must:</w:t>
      </w:r>
    </w:p>
    <w:p>
      <w:pPr>
        <w:pStyle w:val="ListParagraph"/>
        <w:numPr>
          <w:ilvl w:val="0"/>
          <w:numId w:val="2"/>
        </w:numPr>
      </w:pPr>
      <w:r>
        <w:rPr>
          <w:rFonts w:ascii="Arial" w:cs="Arial" w:eastAsia="Arial" w:hAnsi="Arial"/>
          <w:color w:val="3A4A5A"/>
          <w:sz w:val="22"/>
          <w:szCs w:val="22"/>
        </w:rPr>
        <w:t xml:space="preserve">Obtain written approval from their manager in advance.</w:t>
      </w:r>
    </w:p>
    <w:p>
      <w:pPr>
        <w:pStyle w:val="ListParagraph"/>
        <w:numPr>
          <w:ilvl w:val="0"/>
          <w:numId w:val="2"/>
        </w:numPr>
      </w:pPr>
      <w:r>
        <w:rPr>
          <w:rFonts w:ascii="Arial" w:cs="Arial" w:eastAsia="Arial" w:hAnsi="Arial"/>
          <w:color w:val="3A4A5A"/>
          <w:sz w:val="22"/>
          <w:szCs w:val="22"/>
        </w:rPr>
        <w:t xml:space="preserve">Ensure it does not conflict with company interests or compete with Jera Consulting.</w:t>
      </w:r>
    </w:p>
    <w:p>
      <w:pPr>
        <w:pStyle w:val="ListParagraph"/>
        <w:numPr>
          <w:ilvl w:val="0"/>
          <w:numId w:val="2"/>
        </w:numPr>
      </w:pPr>
      <w:r>
        <w:rPr>
          <w:rFonts w:ascii="Arial" w:cs="Arial" w:eastAsia="Arial" w:hAnsi="Arial"/>
          <w:color w:val="3A4A5A"/>
          <w:sz w:val="22"/>
          <w:szCs w:val="22"/>
        </w:rPr>
        <w:t xml:space="preserve">Not use company time, resources, or facilities for private work.</w:t>
      </w:r>
    </w:p>
    <w:p>
      <w:pPr>
        <w:pStyle w:val="ListParagraph"/>
        <w:numPr>
          <w:ilvl w:val="0"/>
          <w:numId w:val="2"/>
        </w:numPr>
      </w:pPr>
      <w:r>
        <w:rPr>
          <w:rFonts w:ascii="Arial" w:cs="Arial" w:eastAsia="Arial" w:hAnsi="Arial"/>
          <w:color w:val="3A4A5A"/>
          <w:sz w:val="22"/>
          <w:szCs w:val="22"/>
        </w:rPr>
        <w:t xml:space="preserve">Ensure there is no breach of confidentiality or conflict of interest.</w:t>
      </w:r>
    </w:p>
    <w:p>
      <w:pPr>
        <w:pStyle w:val="ListParagraph"/>
        <w:numPr>
          <w:ilvl w:val="0"/>
          <w:numId w:val="2"/>
        </w:numPr>
      </w:pPr>
      <w:r>
        <w:rPr>
          <w:rFonts w:ascii="Arial" w:cs="Arial" w:eastAsia="Arial" w:hAnsi="Arial"/>
          <w:color w:val="3A4A5A"/>
          <w:sz w:val="22"/>
          <w:szCs w:val="22"/>
        </w:rPr>
        <w:t xml:space="preserve">Disclose any such work to management upon request.</w:t>
      </w:r>
    </w:p>
    <w:p>
      <w:pPr>
        <w:pStyle w:val="Heading2"/>
      </w:pPr>
      <w:r>
        <w:t xml:space="preserve">15. Social Media Policy</w:t>
      </w:r>
    </w:p>
    <w:p>
      <w:pPr>
        <w:spacing w:after="60" w:before="60"/>
      </w:pPr>
      <w:r>
        <w:rPr>
          <w:rFonts w:ascii="Arial" w:cs="Arial" w:eastAsia="Arial" w:hAnsi="Arial"/>
          <w:b w:val="false"/>
          <w:bCs w:val="false"/>
          <w:color w:val="3A4A5A"/>
          <w:sz w:val="22"/>
          <w:szCs w:val="22"/>
        </w:rPr>
        <w:t xml:space="preserve">Social media use in the workplace is governed by the following principles:</w:t>
      </w:r>
    </w:p>
    <w:p>
      <w:pPr>
        <w:pStyle w:val="Heading3"/>
      </w:pPr>
      <w:r>
        <w:t xml:space="preserve">15.1 Professional Conduct</w:t>
      </w:r>
    </w:p>
    <w:p>
      <w:pPr>
        <w:pStyle w:val="ListParagraph"/>
        <w:numPr>
          <w:ilvl w:val="0"/>
          <w:numId w:val="2"/>
        </w:numPr>
      </w:pPr>
      <w:r>
        <w:rPr>
          <w:rFonts w:ascii="Arial" w:cs="Arial" w:eastAsia="Arial" w:hAnsi="Arial"/>
          <w:color w:val="3A4A5A"/>
          <w:sz w:val="22"/>
          <w:szCs w:val="22"/>
        </w:rPr>
        <w:t xml:space="preserve">Maintain professional standards in all social media activity.</w:t>
      </w:r>
    </w:p>
    <w:p>
      <w:pPr>
        <w:pStyle w:val="ListParagraph"/>
        <w:numPr>
          <w:ilvl w:val="0"/>
          <w:numId w:val="2"/>
        </w:numPr>
      </w:pPr>
      <w:r>
        <w:rPr>
          <w:rFonts w:ascii="Arial" w:cs="Arial" w:eastAsia="Arial" w:hAnsi="Arial"/>
          <w:color w:val="3A4A5A"/>
          <w:sz w:val="22"/>
          <w:szCs w:val="22"/>
        </w:rPr>
        <w:t xml:space="preserve">Do not post content that is offensive, defamatory, or discriminatory.</w:t>
      </w:r>
    </w:p>
    <w:p>
      <w:pPr>
        <w:pStyle w:val="ListParagraph"/>
        <w:numPr>
          <w:ilvl w:val="0"/>
          <w:numId w:val="2"/>
        </w:numPr>
      </w:pPr>
      <w:r>
        <w:rPr>
          <w:rFonts w:ascii="Arial" w:cs="Arial" w:eastAsia="Arial" w:hAnsi="Arial"/>
          <w:color w:val="3A4A5A"/>
          <w:sz w:val="22"/>
          <w:szCs w:val="22"/>
        </w:rPr>
        <w:t xml:space="preserve">Avoid posting while under the influence or in an emotional state.</w:t>
      </w:r>
    </w:p>
    <w:p>
      <w:pPr>
        <w:pStyle w:val="Heading3"/>
      </w:pPr>
      <w:r>
        <w:t xml:space="preserve">15.2 Company Confidentiality</w:t>
      </w:r>
    </w:p>
    <w:p>
      <w:pPr>
        <w:pStyle w:val="ListParagraph"/>
        <w:numPr>
          <w:ilvl w:val="0"/>
          <w:numId w:val="2"/>
        </w:numPr>
      </w:pPr>
      <w:r>
        <w:rPr>
          <w:rFonts w:ascii="Arial" w:cs="Arial" w:eastAsia="Arial" w:hAnsi="Arial"/>
          <w:color w:val="3A4A5A"/>
          <w:sz w:val="22"/>
          <w:szCs w:val="22"/>
        </w:rPr>
        <w:t xml:space="preserve">Never disclose confidential company, client, or employee information on social media.</w:t>
      </w:r>
    </w:p>
    <w:p>
      <w:pPr>
        <w:pStyle w:val="ListParagraph"/>
        <w:numPr>
          <w:ilvl w:val="0"/>
          <w:numId w:val="2"/>
        </w:numPr>
      </w:pPr>
      <w:r>
        <w:rPr>
          <w:rFonts w:ascii="Arial" w:cs="Arial" w:eastAsia="Arial" w:hAnsi="Arial"/>
          <w:color w:val="3A4A5A"/>
          <w:sz w:val="22"/>
          <w:szCs w:val="22"/>
        </w:rPr>
        <w:t xml:space="preserve">Do not post identifiable company information, client names, or business details.</w:t>
      </w:r>
    </w:p>
    <w:p>
      <w:pPr>
        <w:pStyle w:val="ListParagraph"/>
        <w:numPr>
          <w:ilvl w:val="0"/>
          <w:numId w:val="2"/>
        </w:numPr>
      </w:pPr>
      <w:r>
        <w:rPr>
          <w:rFonts w:ascii="Arial" w:cs="Arial" w:eastAsia="Arial" w:hAnsi="Arial"/>
          <w:color w:val="3A4A5A"/>
          <w:sz w:val="22"/>
          <w:szCs w:val="22"/>
        </w:rPr>
        <w:t xml:space="preserve">Avoid commenting negatively about the company, clients, or colleagues.</w:t>
      </w:r>
    </w:p>
    <w:p>
      <w:pPr>
        <w:pStyle w:val="Heading3"/>
      </w:pPr>
      <w:r>
        <w:t xml:space="preserve">15.3 Company Accounts and Branding</w:t>
      </w:r>
    </w:p>
    <w:p>
      <w:pPr>
        <w:pStyle w:val="ListParagraph"/>
        <w:numPr>
          <w:ilvl w:val="0"/>
          <w:numId w:val="2"/>
        </w:numPr>
      </w:pPr>
      <w:r>
        <w:rPr>
          <w:rFonts w:ascii="Arial" w:cs="Arial" w:eastAsia="Arial" w:hAnsi="Arial"/>
          <w:color w:val="3A4A5A"/>
          <w:sz w:val="22"/>
          <w:szCs w:val="22"/>
        </w:rPr>
        <w:t xml:space="preserve">Only authorised personnel may post on official company social media accounts.</w:t>
      </w:r>
    </w:p>
    <w:p>
      <w:pPr>
        <w:pStyle w:val="ListParagraph"/>
        <w:numPr>
          <w:ilvl w:val="0"/>
          <w:numId w:val="2"/>
        </w:numPr>
      </w:pPr>
      <w:r>
        <w:rPr>
          <w:rFonts w:ascii="Arial" w:cs="Arial" w:eastAsia="Arial" w:hAnsi="Arial"/>
          <w:color w:val="3A4A5A"/>
          <w:sz w:val="22"/>
          <w:szCs w:val="22"/>
        </w:rPr>
        <w:t xml:space="preserve">Company branding and logos must be used only with approval.</w:t>
      </w:r>
    </w:p>
    <w:p>
      <w:pPr>
        <w:pStyle w:val="ListParagraph"/>
        <w:numPr>
          <w:ilvl w:val="0"/>
          <w:numId w:val="2"/>
        </w:numPr>
      </w:pPr>
      <w:r>
        <w:rPr>
          <w:rFonts w:ascii="Arial" w:cs="Arial" w:eastAsia="Arial" w:hAnsi="Arial"/>
          <w:color w:val="3A4A5A"/>
          <w:sz w:val="22"/>
          <w:szCs w:val="22"/>
        </w:rPr>
        <w:t xml:space="preserve">Ensure all official posts are professional and on-brand.</w:t>
      </w:r>
    </w:p>
    <w:p>
      <w:pPr>
        <w:pStyle w:val="Heading3"/>
      </w:pPr>
      <w:r>
        <w:t xml:space="preserve">15.4 Personal Social Media</w:t>
      </w:r>
    </w:p>
    <w:p>
      <w:pPr>
        <w:pStyle w:val="ListParagraph"/>
        <w:numPr>
          <w:ilvl w:val="0"/>
          <w:numId w:val="2"/>
        </w:numPr>
      </w:pPr>
      <w:r>
        <w:rPr>
          <w:rFonts w:ascii="Arial" w:cs="Arial" w:eastAsia="Arial" w:hAnsi="Arial"/>
          <w:color w:val="3A4A5A"/>
          <w:sz w:val="22"/>
          <w:szCs w:val="22"/>
        </w:rPr>
        <w:t xml:space="preserve">While you own your personal social media accounts, conduct may reflect on Jera Consulting.</w:t>
      </w:r>
    </w:p>
    <w:p>
      <w:pPr>
        <w:pStyle w:val="ListParagraph"/>
        <w:numPr>
          <w:ilvl w:val="0"/>
          <w:numId w:val="2"/>
        </w:numPr>
      </w:pPr>
      <w:r>
        <w:rPr>
          <w:rFonts w:ascii="Arial" w:cs="Arial" w:eastAsia="Arial" w:hAnsi="Arial"/>
          <w:color w:val="3A4A5A"/>
          <w:sz w:val="22"/>
          <w:szCs w:val="22"/>
        </w:rPr>
        <w:t xml:space="preserve">Use good judgment and maintain professional standards.</w:t>
      </w:r>
    </w:p>
    <w:p>
      <w:pPr>
        <w:pStyle w:val="ListParagraph"/>
        <w:numPr>
          <w:ilvl w:val="0"/>
          <w:numId w:val="2"/>
        </w:numPr>
      </w:pPr>
      <w:r>
        <w:rPr>
          <w:rFonts w:ascii="Arial" w:cs="Arial" w:eastAsia="Arial" w:hAnsi="Arial"/>
          <w:color w:val="3A4A5A"/>
          <w:sz w:val="22"/>
          <w:szCs w:val="22"/>
        </w:rPr>
        <w:t xml:space="preserve">Company may take action if posts damage the company's reputation or breach confidentiality.</w:t>
      </w:r>
    </w:p>
    <w:p>
      <w:pPr>
        <w:pStyle w:val="Heading3"/>
      </w:pPr>
      <w:r>
        <w:t xml:space="preserve">15.5 Digital Security</w:t>
      </w:r>
    </w:p>
    <w:p>
      <w:pPr>
        <w:pStyle w:val="ListParagraph"/>
        <w:numPr>
          <w:ilvl w:val="0"/>
          <w:numId w:val="2"/>
        </w:numPr>
      </w:pPr>
      <w:r>
        <w:rPr>
          <w:rFonts w:ascii="Arial" w:cs="Arial" w:eastAsia="Arial" w:hAnsi="Arial"/>
          <w:color w:val="3A4A5A"/>
          <w:sz w:val="22"/>
          <w:szCs w:val="22"/>
        </w:rPr>
        <w:t xml:space="preserve">Protect company information shared via personal devices and accounts.</w:t>
      </w:r>
    </w:p>
    <w:p>
      <w:pPr>
        <w:pStyle w:val="ListParagraph"/>
        <w:numPr>
          <w:ilvl w:val="0"/>
          <w:numId w:val="2"/>
        </w:numPr>
      </w:pPr>
      <w:r>
        <w:rPr>
          <w:rFonts w:ascii="Arial" w:cs="Arial" w:eastAsia="Arial" w:hAnsi="Arial"/>
          <w:color w:val="3A4A5A"/>
          <w:sz w:val="22"/>
          <w:szCs w:val="22"/>
        </w:rPr>
        <w:t xml:space="preserve">Use secure passwords and enable two-factor authentication.</w:t>
      </w:r>
    </w:p>
    <w:p>
      <w:pPr>
        <w:pStyle w:val="ListParagraph"/>
        <w:numPr>
          <w:ilvl w:val="0"/>
          <w:numId w:val="2"/>
        </w:numPr>
      </w:pPr>
      <w:r>
        <w:rPr>
          <w:rFonts w:ascii="Arial" w:cs="Arial" w:eastAsia="Arial" w:hAnsi="Arial"/>
          <w:color w:val="3A4A5A"/>
          <w:sz w:val="22"/>
          <w:szCs w:val="22"/>
        </w:rPr>
        <w:t xml:space="preserve">Be cautious of phishing attempts and social engineering via social media.</w:t>
      </w:r>
    </w:p>
    <w:p>
      <w:pPr>
        <w:pStyle w:val="Heading2"/>
      </w:pPr>
      <w:r>
        <w:t xml:space="preserve">16. Remote Work and Work from Client Sites</w:t>
      </w:r>
    </w:p>
    <w:p>
      <w:pPr>
        <w:spacing w:after="60" w:before="60"/>
      </w:pPr>
      <w:r>
        <w:rPr>
          <w:rFonts w:ascii="Arial" w:cs="Arial" w:eastAsia="Arial" w:hAnsi="Arial"/>
          <w:b w:val="false"/>
          <w:bCs w:val="false"/>
          <w:color w:val="3A4A5A"/>
          <w:sz w:val="22"/>
          <w:szCs w:val="22"/>
        </w:rPr>
        <w:t xml:space="preserve">Employees working remotely or at client locations must:</w:t>
      </w:r>
    </w:p>
    <w:p>
      <w:pPr>
        <w:pStyle w:val="Heading3"/>
      </w:pPr>
      <w:r>
        <w:t xml:space="preserve">16.1 Professional Environment</w:t>
      </w:r>
    </w:p>
    <w:p>
      <w:pPr>
        <w:pStyle w:val="ListParagraph"/>
        <w:numPr>
          <w:ilvl w:val="0"/>
          <w:numId w:val="2"/>
        </w:numPr>
      </w:pPr>
      <w:r>
        <w:rPr>
          <w:rFonts w:ascii="Arial" w:cs="Arial" w:eastAsia="Arial" w:hAnsi="Arial"/>
          <w:color w:val="3A4A5A"/>
          <w:sz w:val="22"/>
          <w:szCs w:val="22"/>
        </w:rPr>
        <w:t xml:space="preserve">Maintain a professional workspace that can be visible during video calls.</w:t>
      </w:r>
    </w:p>
    <w:p>
      <w:pPr>
        <w:pStyle w:val="ListParagraph"/>
        <w:numPr>
          <w:ilvl w:val="0"/>
          <w:numId w:val="2"/>
        </w:numPr>
      </w:pPr>
      <w:r>
        <w:rPr>
          <w:rFonts w:ascii="Arial" w:cs="Arial" w:eastAsia="Arial" w:hAnsi="Arial"/>
          <w:color w:val="3A4A5A"/>
          <w:sz w:val="22"/>
          <w:szCs w:val="22"/>
        </w:rPr>
        <w:t xml:space="preserve">Ensure adequate lighting, background, and minimal distractions.</w:t>
      </w:r>
    </w:p>
    <w:p>
      <w:pPr>
        <w:pStyle w:val="ListParagraph"/>
        <w:numPr>
          <w:ilvl w:val="0"/>
          <w:numId w:val="2"/>
        </w:numPr>
      </w:pPr>
      <w:r>
        <w:rPr>
          <w:rFonts w:ascii="Arial" w:cs="Arial" w:eastAsia="Arial" w:hAnsi="Arial"/>
          <w:color w:val="3A4A5A"/>
          <w:sz w:val="22"/>
          <w:szCs w:val="22"/>
        </w:rPr>
        <w:t xml:space="preserve">Dress professionally for video meetings and client interactions.</w:t>
      </w:r>
    </w:p>
    <w:p>
      <w:pPr>
        <w:pStyle w:val="Heading3"/>
      </w:pPr>
      <w:r>
        <w:t xml:space="preserve">16.2 Security and Confidentiality</w:t>
      </w:r>
    </w:p>
    <w:p>
      <w:pPr>
        <w:pStyle w:val="ListParagraph"/>
        <w:numPr>
          <w:ilvl w:val="0"/>
          <w:numId w:val="2"/>
        </w:numPr>
      </w:pPr>
      <w:r>
        <w:rPr>
          <w:rFonts w:ascii="Arial" w:cs="Arial" w:eastAsia="Arial" w:hAnsi="Arial"/>
          <w:color w:val="3A4A5A"/>
          <w:sz w:val="22"/>
          <w:szCs w:val="22"/>
        </w:rPr>
        <w:t xml:space="preserve">Secure company devices with passwords and encryption.</w:t>
      </w:r>
    </w:p>
    <w:p>
      <w:pPr>
        <w:pStyle w:val="ListParagraph"/>
        <w:numPr>
          <w:ilvl w:val="0"/>
          <w:numId w:val="2"/>
        </w:numPr>
      </w:pPr>
      <w:r>
        <w:rPr>
          <w:rFonts w:ascii="Arial" w:cs="Arial" w:eastAsia="Arial" w:hAnsi="Arial"/>
          <w:color w:val="3A4A5A"/>
          <w:sz w:val="22"/>
          <w:szCs w:val="22"/>
        </w:rPr>
        <w:t xml:space="preserve">Use approved VPN and security tools for company network access.</w:t>
      </w:r>
    </w:p>
    <w:p>
      <w:pPr>
        <w:pStyle w:val="ListParagraph"/>
        <w:numPr>
          <w:ilvl w:val="0"/>
          <w:numId w:val="2"/>
        </w:numPr>
      </w:pPr>
      <w:r>
        <w:rPr>
          <w:rFonts w:ascii="Arial" w:cs="Arial" w:eastAsia="Arial" w:hAnsi="Arial"/>
          <w:color w:val="3A4A5A"/>
          <w:sz w:val="22"/>
          <w:szCs w:val="22"/>
        </w:rPr>
        <w:t xml:space="preserve">Ensure confidential documents and information are not visible to household members.</w:t>
      </w:r>
    </w:p>
    <w:p>
      <w:pPr>
        <w:pStyle w:val="ListParagraph"/>
        <w:numPr>
          <w:ilvl w:val="0"/>
          <w:numId w:val="2"/>
        </w:numPr>
      </w:pPr>
      <w:r>
        <w:rPr>
          <w:rFonts w:ascii="Arial" w:cs="Arial" w:eastAsia="Arial" w:hAnsi="Arial"/>
          <w:color w:val="3A4A5A"/>
          <w:sz w:val="22"/>
          <w:szCs w:val="22"/>
        </w:rPr>
        <w:t xml:space="preserve">Lock devices when stepping away.</w:t>
      </w:r>
    </w:p>
    <w:p>
      <w:pPr>
        <w:pStyle w:val="Heading3"/>
      </w:pPr>
      <w:r>
        <w:t xml:space="preserve">16.3 Communication</w:t>
      </w:r>
    </w:p>
    <w:p>
      <w:pPr>
        <w:pStyle w:val="ListParagraph"/>
        <w:numPr>
          <w:ilvl w:val="0"/>
          <w:numId w:val="2"/>
        </w:numPr>
      </w:pPr>
      <w:r>
        <w:rPr>
          <w:rFonts w:ascii="Arial" w:cs="Arial" w:eastAsia="Arial" w:hAnsi="Arial"/>
          <w:color w:val="3A4A5A"/>
          <w:sz w:val="22"/>
          <w:szCs w:val="22"/>
        </w:rPr>
        <w:t xml:space="preserve">Remain available during agreed working hours.</w:t>
      </w:r>
    </w:p>
    <w:p>
      <w:pPr>
        <w:pStyle w:val="ListParagraph"/>
        <w:numPr>
          <w:ilvl w:val="0"/>
          <w:numId w:val="2"/>
        </w:numPr>
      </w:pPr>
      <w:r>
        <w:rPr>
          <w:rFonts w:ascii="Arial" w:cs="Arial" w:eastAsia="Arial" w:hAnsi="Arial"/>
          <w:color w:val="3A4A5A"/>
          <w:sz w:val="22"/>
          <w:szCs w:val="22"/>
        </w:rPr>
        <w:t xml:space="preserve">Respond promptly to messages and emails.</w:t>
      </w:r>
    </w:p>
    <w:p>
      <w:pPr>
        <w:pStyle w:val="ListParagraph"/>
        <w:numPr>
          <w:ilvl w:val="0"/>
          <w:numId w:val="2"/>
        </w:numPr>
      </w:pPr>
      <w:r>
        <w:rPr>
          <w:rFonts w:ascii="Arial" w:cs="Arial" w:eastAsia="Arial" w:hAnsi="Arial"/>
          <w:color w:val="3A4A5A"/>
          <w:sz w:val="22"/>
          <w:szCs w:val="22"/>
        </w:rPr>
        <w:t xml:space="preserve">Attend scheduled meetings on time via video or phone.</w:t>
      </w:r>
    </w:p>
    <w:p>
      <w:pPr>
        <w:pStyle w:val="Heading3"/>
      </w:pPr>
      <w:r>
        <w:t xml:space="preserve">16.4 Client Site Conduct</w:t>
      </w:r>
    </w:p>
    <w:p>
      <w:pPr>
        <w:pStyle w:val="ListParagraph"/>
        <w:numPr>
          <w:ilvl w:val="0"/>
          <w:numId w:val="2"/>
        </w:numPr>
      </w:pPr>
      <w:r>
        <w:rPr>
          <w:rFonts w:ascii="Arial" w:cs="Arial" w:eastAsia="Arial" w:hAnsi="Arial"/>
          <w:color w:val="3A4A5A"/>
          <w:sz w:val="22"/>
          <w:szCs w:val="22"/>
        </w:rPr>
        <w:t xml:space="preserve">Comply with client site rules and security protocols.</w:t>
      </w:r>
    </w:p>
    <w:p>
      <w:pPr>
        <w:pStyle w:val="ListParagraph"/>
        <w:numPr>
          <w:ilvl w:val="0"/>
          <w:numId w:val="2"/>
        </w:numPr>
      </w:pPr>
      <w:r>
        <w:rPr>
          <w:rFonts w:ascii="Arial" w:cs="Arial" w:eastAsia="Arial" w:hAnsi="Arial"/>
          <w:color w:val="3A4A5A"/>
          <w:sz w:val="22"/>
          <w:szCs w:val="22"/>
        </w:rPr>
        <w:t xml:space="preserve">Respect client confidentiality and workspace policies.</w:t>
      </w:r>
    </w:p>
    <w:p>
      <w:pPr>
        <w:pStyle w:val="ListParagraph"/>
        <w:numPr>
          <w:ilvl w:val="0"/>
          <w:numId w:val="2"/>
        </w:numPr>
      </w:pPr>
      <w:r>
        <w:rPr>
          <w:rFonts w:ascii="Arial" w:cs="Arial" w:eastAsia="Arial" w:hAnsi="Arial"/>
          <w:color w:val="3A4A5A"/>
          <w:sz w:val="22"/>
          <w:szCs w:val="22"/>
        </w:rPr>
        <w:t xml:space="preserve">Represent Jera Consulting professionally at all times.</w:t>
      </w:r>
    </w:p>
    <w:p>
      <w:pPr>
        <w:pStyle w:val="Heading2"/>
      </w:pPr>
      <w:r>
        <w:t xml:space="preserve">17. Rumour Mongering and Gossip</w:t>
      </w:r>
    </w:p>
    <w:p>
      <w:pPr>
        <w:spacing w:after="60" w:before="60"/>
      </w:pPr>
      <w:r>
        <w:rPr>
          <w:rFonts w:ascii="Arial" w:cs="Arial" w:eastAsia="Arial" w:hAnsi="Arial"/>
          <w:b w:val="false"/>
          <w:bCs w:val="false"/>
          <w:color w:val="3A4A5A"/>
          <w:sz w:val="22"/>
          <w:szCs w:val="22"/>
        </w:rPr>
        <w:t xml:space="preserve">Spreading rumours or engaging in gossip is prohibited:</w:t>
      </w:r>
    </w:p>
    <w:p>
      <w:pPr>
        <w:pStyle w:val="ListParagraph"/>
        <w:numPr>
          <w:ilvl w:val="0"/>
          <w:numId w:val="2"/>
        </w:numPr>
      </w:pPr>
      <w:r>
        <w:rPr>
          <w:rFonts w:ascii="Arial" w:cs="Arial" w:eastAsia="Arial" w:hAnsi="Arial"/>
          <w:color w:val="3A4A5A"/>
          <w:sz w:val="22"/>
          <w:szCs w:val="22"/>
        </w:rPr>
        <w:t xml:space="preserve">Do not spread unverified information about colleagues or the company.</w:t>
      </w:r>
    </w:p>
    <w:p>
      <w:pPr>
        <w:pStyle w:val="ListParagraph"/>
        <w:numPr>
          <w:ilvl w:val="0"/>
          <w:numId w:val="2"/>
        </w:numPr>
      </w:pPr>
      <w:r>
        <w:rPr>
          <w:rFonts w:ascii="Arial" w:cs="Arial" w:eastAsia="Arial" w:hAnsi="Arial"/>
          <w:color w:val="3A4A5A"/>
          <w:sz w:val="22"/>
          <w:szCs w:val="22"/>
        </w:rPr>
        <w:t xml:space="preserve">Address concerns through appropriate channels rather than discussing with others.</w:t>
      </w:r>
    </w:p>
    <w:p>
      <w:pPr>
        <w:pStyle w:val="ListParagraph"/>
        <w:numPr>
          <w:ilvl w:val="0"/>
          <w:numId w:val="2"/>
        </w:numPr>
      </w:pPr>
      <w:r>
        <w:rPr>
          <w:rFonts w:ascii="Arial" w:cs="Arial" w:eastAsia="Arial" w:hAnsi="Arial"/>
          <w:color w:val="3A4A5A"/>
          <w:sz w:val="22"/>
          <w:szCs w:val="22"/>
        </w:rPr>
        <w:t xml:space="preserve">Avoid participating in conversations that demean or harm others.</w:t>
      </w:r>
    </w:p>
    <w:p>
      <w:pPr>
        <w:pStyle w:val="ListParagraph"/>
        <w:numPr>
          <w:ilvl w:val="0"/>
          <w:numId w:val="2"/>
        </w:numPr>
      </w:pPr>
      <w:r>
        <w:rPr>
          <w:rFonts w:ascii="Arial" w:cs="Arial" w:eastAsia="Arial" w:hAnsi="Arial"/>
          <w:color w:val="3A4A5A"/>
          <w:sz w:val="22"/>
          <w:szCs w:val="22"/>
        </w:rPr>
        <w:t xml:space="preserve">Report substantive concerns to management or HR.</w:t>
      </w:r>
    </w:p>
    <w:p>
      <w:pPr>
        <w:pStyle w:val="Heading2"/>
      </w:pPr>
      <w:r>
        <w:t xml:space="preserve">18. Policy Enforcement</w:t>
      </w:r>
    </w:p>
    <w:p>
      <w:pPr>
        <w:spacing w:after="60" w:before="60"/>
      </w:pPr>
      <w:r>
        <w:rPr>
          <w:rFonts w:ascii="Arial" w:cs="Arial" w:eastAsia="Arial" w:hAnsi="Arial"/>
          <w:b w:val="false"/>
          <w:bCs w:val="false"/>
          <w:color w:val="3A4A5A"/>
          <w:sz w:val="22"/>
          <w:szCs w:val="22"/>
        </w:rPr>
        <w:t xml:space="preserve">Violations of this Code of Conduct may result in disciplinary action ranging from verbal warning to dismissal, depending on the severity and circumstances of the breach. Managers have authority to enforce this policy and may investigate suspected violations.</w:t>
      </w:r>
    </w:p>
    <w:p>
      <w:pPr>
        <w:pStyle w:val="Heading2"/>
      </w:pPr>
      <w:r>
        <w:t xml:space="preserve">19. Communication and Review</w:t>
      </w:r>
    </w:p>
    <w:p>
      <w:pPr>
        <w:spacing w:after="60" w:before="60"/>
      </w:pPr>
      <w:r>
        <w:rPr>
          <w:rFonts w:ascii="Arial" w:cs="Arial" w:eastAsia="Arial" w:hAnsi="Arial"/>
          <w:b w:val="false"/>
          <w:bCs w:val="false"/>
          <w:color w:val="3A4A5A"/>
          <w:sz w:val="22"/>
          <w:szCs w:val="22"/>
        </w:rPr>
        <w:t xml:space="preserve">This policy will be communicated to all employees upon employment and when updated. Managers must ensure their teams understand and comply with this Code of Conduct.</w:t>
      </w:r>
    </w:p>
    <w:p>
      <w:pPr>
        <w:spacing w:after="0" w:before="300"/>
      </w:pPr>
    </w:p>
    <w:p>
      <w:pPr>
        <w:pStyle w:val="Heading2"/>
      </w:pPr>
      <w:r>
        <w:t xml:space="preserve">Sign-Off</w:t>
      </w:r>
    </w:p>
    <w:p>
      <w:pPr>
        <w:spacing w:after="60" w:before="60"/>
      </w:pPr>
      <w:r>
        <w:rPr>
          <w:rFonts w:ascii="Arial" w:cs="Arial" w:eastAsia="Arial" w:hAnsi="Arial"/>
          <w:b w:val="false"/>
          <w:bCs w:val="false"/>
          <w:color w:val="3A4A5A"/>
          <w:sz w:val="22"/>
          <w:szCs w:val="22"/>
        </w:rPr>
        <w:t xml:space="preserve">This policy has been reviewed and approved by the undersigned.</w:t>
      </w:r>
    </w:p>
    <w:p>
      <w:pPr>
        <w:spacing w:after="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3116"/>
        <w:gridCol w:w="2117"/>
      </w:tblGrid>
      <w:tr>
        <w:tc>
          <w:tcPr>
            <w:tcW w:type="dxa" w:w="26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6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1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21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bl>
    <w:p>
      <w:pPr>
        <w:spacing w:after="0" w:before="200"/>
      </w:pPr>
    </w:p>
    <w:p>
      <w:pPr>
        <w:pStyle w:val="Heading2"/>
      </w:pPr>
      <w:r>
        <w:t xml:space="preserve">Communication and Amendments</w:t>
      </w:r>
    </w:p>
    <w:p>
      <w:pPr>
        <w:pStyle w:val="ListParagraph"/>
        <w:numPr>
          <w:ilvl w:val="0"/>
          <w:numId w:val="2"/>
        </w:numPr>
      </w:pPr>
      <w:r>
        <w:rPr>
          <w:rFonts w:ascii="Arial" w:cs="Arial" w:eastAsia="Arial" w:hAnsi="Arial"/>
          <w:color w:val="3A4A5A"/>
          <w:sz w:val="22"/>
          <w:szCs w:val="22"/>
        </w:rPr>
        <w:t xml:space="preserve">Managers and team leaders must communicate this policy to all employees reporting to them.</w:t>
      </w:r>
    </w:p>
    <w:p>
      <w:pPr>
        <w:pStyle w:val="ListParagraph"/>
        <w:numPr>
          <w:ilvl w:val="0"/>
          <w:numId w:val="2"/>
        </w:numPr>
      </w:pPr>
      <w:r>
        <w:rPr>
          <w:rFonts w:ascii="Arial" w:cs="Arial" w:eastAsia="Arial" w:hAnsi="Arial"/>
          <w:color w:val="3A4A5A"/>
          <w:sz w:val="22"/>
          <w:szCs w:val="22"/>
        </w:rPr>
        <w:t xml:space="preserve">This policy may be amended from time to time without prior consultation or notice, subject to applicable legislation.</w:t>
      </w:r>
    </w:p>
    <w:p>
      <w:pPr>
        <w:pStyle w:val="ListParagraph"/>
        <w:numPr>
          <w:ilvl w:val="0"/>
          <w:numId w:val="2"/>
        </w:numPr>
      </w:pPr>
      <w:r>
        <w:rPr>
          <w:rFonts w:ascii="Arial" w:cs="Arial" w:eastAsia="Arial" w:hAnsi="Arial"/>
          <w:color w:val="3A4A5A"/>
          <w:sz w:val="22"/>
          <w:szCs w:val="22"/>
        </w:rPr>
        <w:t xml:space="preserve">The most current version of this policy will be made available on the company intranet or shared document repository.</w:t>
      </w:r>
    </w:p>
    <w:sectPr>
      <w:headerReference w:type="default" r:id="rId7"/>
      <w:footerReference w:type="default" r:id="rId8"/>
      <w:pgSz w:w="11906" w:h="16838" w:orient="portrait"/>
      <w:pgMar w:top="720" w:right="720" w:bottom="14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66"/>
      <w:tblBorders>
        <w:top w:val="none"/>
        <w:left w:val="none"/>
        <w:bottom w:val="none"/>
        <w:right w:val="none"/>
        <w:insideH w:val="single" w:color="auto" w:sz="4"/>
        <w:insideV w:val="single" w:color="auto" w:sz="4"/>
      </w:tblBorders>
    </w:tblPr>
    <w:tblGrid>
      <w:gridCol w:w="6800"/>
      <w:gridCol w:w="3666"/>
    </w:tblGrid>
    <w:tr>
      <w:tc>
        <w:tcPr>
          <w:tcW w:type="dxa" w:w="6800"/>
          <w:tcBorders>
            <w:top w:val="single" w:color="DDE1EA" w:sz="4"/>
            <w:left w:val="none"/>
            <w:bottom w:val="none"/>
            <w:right w:val="none"/>
          </w:tcBorders>
          <w:tcMar>
            <w:top w:type="dxa" w:w="80"/>
            <w:left w:type="dxa" w:w="0"/>
            <w:bottom w:type="dxa" w:w="0"/>
            <w:right w:type="dxa" w:w="120"/>
          </w:tcMar>
        </w:tcPr>
        <w:p>
          <w:pPr>
            <w:spacing w:after="0" w:before="80"/>
          </w:pPr>
          <w:r>
            <w:rPr>
              <w:rFonts w:ascii="Arial" w:cs="Arial" w:eastAsia="Arial" w:hAnsi="Arial"/>
              <w:color w:val="8A98A8"/>
              <w:sz w:val="14"/>
              <w:szCs w:val="14"/>
            </w:rPr>
            <w:t xml:space="preserve">256 Rondebult Rd, Parkdene, Boksburg, 1459, Gauteng  |  Tel: +27(0)11-913-3320</w:t>
          </w:r>
        </w:p>
        <w:p>
          <w:pPr>
            <w:spacing w:after="0" w:before="20"/>
          </w:pPr>
          <w:r>
            <w:rPr>
              <w:rFonts w:ascii="Arial" w:cs="Arial" w:eastAsia="Arial" w:hAnsi="Arial"/>
              <w:color w:val="8A98A8"/>
              <w:sz w:val="14"/>
              <w:szCs w:val="14"/>
            </w:rPr>
            <w:t xml:space="preserve">Reg No: 1988/007393/07  |  VAT: 4210112126  |  Est. 1988</w:t>
          </w:r>
        </w:p>
        <w:p>
          <w:pPr>
            <w:spacing w:after="0" w:before="20"/>
          </w:pPr>
          <w:r>
            <w:rPr>
              <w:rFonts w:ascii="Arial" w:cs="Arial" w:eastAsia="Arial" w:hAnsi="Arial"/>
              <w:color w:val="8A98A8"/>
              <w:sz w:val="14"/>
              <w:szCs w:val="14"/>
            </w:rPr>
            <w:t xml:space="preserve">Directors: R.A. de Kock (Managing), C. Haasbroek</w:t>
          </w:r>
        </w:p>
      </w:tc>
      <w:tc>
        <w:tcPr>
          <w:tcW w:type="dxa" w:w="3666"/>
          <w:tcBorders>
            <w:top w:val="single" w:color="DDE1EA" w:sz="4"/>
            <w:left w:val="none"/>
            <w:bottom w:val="none"/>
            <w:right w:val="none"/>
          </w:tcBorders>
          <w:tcMar>
            <w:top w:type="dxa" w:w="80"/>
            <w:left w:type="dxa" w:w="120"/>
            <w:bottom w:type="dxa" w:w="0"/>
            <w:right w:type="dxa" w:w="0"/>
          </w:tcMar>
          <w:vAlign w:val="center"/>
        </w:tcPr>
        <w:p>
          <w:pPr>
            <w:spacing w:after="0" w:before="0"/>
            <w:jc w:val="right"/>
          </w:pPr>
          <w:r>
            <w:rPr>
              <w:rFonts w:ascii="Arial" w:cs="Arial" w:eastAsia="Arial" w:hAnsi="Arial"/>
              <w:color w:val="1B6FFF"/>
              <w:sz w:val="14"/>
              <w:szCs w:val="14"/>
            </w:rPr>
            <w:t xml:space="preserve">jera.co.za</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FFF" w:sz="16" w:space="4"/>
      </w:pBdr>
      <w:spacing w:after="0"/>
      <w:jc w:val="left"/>
    </w:pPr>
    <w:r>
      <w:drawing>
        <wp:inline distT="0" distB="0" distL="0" distR="0">
          <wp:extent cx="1619250" cy="619125"/>
          <wp:effectExtent t="0" r="0" b="0" l="0"/>
          <wp:docPr id="1" name="JeraLogo" descr="Jera Consulting Logo" title="Je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6191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A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jc w:val="center"/>
      <w:outlineLvl w:val="0"/>
    </w:pPr>
    <w:rPr>
      <w:rFonts w:ascii="Arial" w:cs="Arial" w:eastAsia="Arial" w:hAnsi="Arial"/>
      <w:b/>
      <w:bCs/>
      <w:color w:val="1A2F50"/>
      <w:sz w:val="32"/>
      <w:szCs w:val="32"/>
    </w:rPr>
  </w:style>
  <w:style w:type="paragraph" w:styleId="Heading2">
    <w:name w:val="Heading 2"/>
    <w:basedOn w:val="Normal"/>
    <w:next w:val="Normal"/>
    <w:qFormat/>
    <w:pPr>
      <w:pBdr>
        <w:bottom w:val="single" w:color="1B6FFF" w:sz="8" w:space="4"/>
      </w:pBdr>
      <w:spacing w:after="120" w:before="240"/>
      <w:outlineLvl w:val="1"/>
    </w:pPr>
    <w:rPr>
      <w:rFonts w:ascii="Arial" w:cs="Arial" w:eastAsia="Arial" w:hAnsi="Arial"/>
      <w:b/>
      <w:bCs/>
      <w:color w:val="1B6FFF"/>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A2F50"/>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72655ee311d7e1297b04267f2333d1d98c19f2f.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3F60F771545E4FACCF5894FE890AE5" ma:contentTypeVersion="15" ma:contentTypeDescription="Create a new document." ma:contentTypeScope="" ma:versionID="2b5c8ba39e76d01cd5d87bb3fb98a620">
  <xsd:schema xmlns:xsd="http://www.w3.org/2001/XMLSchema" xmlns:xs="http://www.w3.org/2001/XMLSchema" xmlns:p="http://schemas.microsoft.com/office/2006/metadata/properties" xmlns:ns2="f32016ad-11d9-44d0-8f3a-f66ac62173df" xmlns:ns3="5392da11-5a5e-4873-aaa8-5acd18bf386b" targetNamespace="http://schemas.microsoft.com/office/2006/metadata/properties" ma:root="true" ma:fieldsID="6965f6421835919e11ab26e359dd715d" ns2:_="" ns3:_="">
    <xsd:import namespace="f32016ad-11d9-44d0-8f3a-f66ac62173df"/>
    <xsd:import namespace="5392da11-5a5e-4873-aaa8-5acd18bf38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016ad-11d9-44d0-8f3a-f66ac62173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1e0656-4278-4ea6-a847-5feef18064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92da11-5a5e-4873-aaa8-5acd18bf38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5f4919-6599-4675-964d-ce44e3cd8aec}" ma:internalName="TaxCatchAll" ma:showField="CatchAllData" ma:web="5392da11-5a5e-4873-aaa8-5acd18bf386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392da11-5a5e-4873-aaa8-5acd18bf386b" xsi:nil="true"/>
    <lcf76f155ced4ddcb4097134ff3c332f xmlns="f32016ad-11d9-44d0-8f3a-f66ac62173d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4CDAA15-2BA9-4688-BDE9-E612E9CAFF87}"/>
</file>

<file path=customXml/itemProps2.xml><?xml version="1.0" encoding="utf-8"?>
<ds:datastoreItem xmlns:ds="http://schemas.openxmlformats.org/officeDocument/2006/customXml" ds:itemID="{63DEEEFE-F51D-4F06-8E92-0B818F2D32FB}"/>
</file>

<file path=customXml/itemProps3.xml><?xml version="1.0" encoding="utf-8"?>
<ds:datastoreItem xmlns:ds="http://schemas.openxmlformats.org/officeDocument/2006/customXml" ds:itemID="{65E64320-5122-44D1-9A6F-D0BAEA37844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2026-04-13T13:53:34Z</dcterms:created>
  <dcterms:modified xsi:type="dcterms:W3CDTF">2026-04-13T13:53:34Z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0x010100133F60F771545E4FACCF5894FE890AE5</vt:lpwstr>
  </property>
  <property fmtid="{D5CDD505-2E9C-101B-9397-08002B2CF9AE}" pid="3" name="MediaServiceImageTags">
    <vt:lpwstr/>
  </property>
</Properties>
</file>