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F50" w:val="clear"/>
        <w:tabs>
          <w:tab w:val="right" w:pos="10466"/>
        </w:tabs>
        <w:spacing w:after="120" w:before="0"/>
      </w:pPr>
      <w:r>
        <w:rPr>
          <w:rFonts w:ascii="Arial" w:cs="Arial" w:eastAsia="Arial" w:hAnsi="Arial"/>
          <w:b w:val="false"/>
          <w:bCs w:val="false"/>
          <w:color w:val="A0BADE"/>
          <w:sz w:val="17"/>
          <w:szCs w:val="17"/>
        </w:rPr>
        <w:t xml:space="preserve">Version 2026.1  |  April 2026  |  Prepared by Jera Consulting (Pty) Ltd</w:t>
      </w:r>
      <w:r>
        <w:rPr>
          <w:rFonts w:ascii="Arial" w:cs="Arial" w:eastAsia="Arial" w:hAnsi="Arial"/>
          <w:b/>
          <w:bCs/>
          <w:color w:val="1B6FFF"/>
          <w:sz w:val="17"/>
          <w:szCs w:val="17"/>
        </w:rPr>
        <w:t xml:space="preserve">	JERA-POL-HR003</w:t>
      </w:r>
    </w:p>
    <w:p>
      <w:pPr>
        <w:pStyle w:val="Heading1"/>
      </w:pPr>
      <w:r>
        <w:t xml:space="preserve">Remuneration Policy</w:t>
      </w:r>
    </w:p>
    <w:p>
      <w:pPr>
        <w:spacing w:after="200" w:before="0"/>
        <w:jc w:val="center"/>
      </w:pPr>
      <w:r>
        <w:rPr>
          <w:rFonts w:ascii="Arial" w:cs="Arial" w:eastAsia="Arial" w:hAnsi="Arial"/>
          <w:color w:val="5A6A7A"/>
          <w:sz w:val="22"/>
          <w:szCs w:val="22"/>
        </w:rPr>
        <w:t xml:space="preserve">Jera Consulting (Pty) Ltd</w:t>
      </w:r>
    </w:p>
    <w:p>
      <w:pPr>
        <w:spacing w:after="200" w:before="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16"/>
        <w:gridCol w:w="2617"/>
        <w:gridCol w:w="2617"/>
        <w:gridCol w:w="2616"/>
      </w:tblGrid>
      <w:tr>
        <w:tc>
          <w:tcPr>
            <w:tcW w:type="dxa" w:w="2616"/>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Approval</w:t>
            </w:r>
          </w:p>
        </w:tc>
        <w:tc>
          <w:tcPr>
            <w:tcW w:type="dxa" w:w="2617"/>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Department</w:t>
            </w:r>
          </w:p>
        </w:tc>
        <w:tc>
          <w:tcPr>
            <w:tcW w:type="dxa" w:w="2617"/>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Job Title / Role</w:t>
            </w:r>
          </w:p>
        </w:tc>
        <w:tc>
          <w:tcPr>
            <w:tcW w:type="dxa" w:w="2616"/>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Signature &amp; Date</w:t>
            </w:r>
          </w:p>
        </w:tc>
      </w:tr>
      <w:tr>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5A6A7A"/>
                <w:sz w:val="18"/>
                <w:szCs w:val="18"/>
              </w:rPr>
              <w:t xml:space="preserve">Document Owner</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3A4A5A"/>
                <w:sz w:val="18"/>
                <w:szCs w:val="18"/>
              </w:rPr>
              <w:t xml:space="preserve">Operations</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3A4A5A"/>
                <w:sz w:val="18"/>
                <w:szCs w:val="18"/>
              </w:rPr>
              <w:t xml:space="preserve">Managing Director</w:t>
            </w:r>
          </w:p>
        </w:tc>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3A4A5A"/>
                <w:sz w:val="18"/>
                <w:szCs w:val="18"/>
              </w:rPr>
              <w:t xml:space="preserve"/>
            </w:r>
          </w:p>
        </w:tc>
      </w:tr>
      <w:tr>
        <w:tc>
          <w:tcPr>
            <w:tcW w:type="dxa" w:w="26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5A6A7A"/>
                <w:sz w:val="18"/>
                <w:szCs w:val="18"/>
              </w:rPr>
              <w:t xml:space="preserve">Approved by</w:t>
            </w:r>
          </w:p>
        </w:tc>
        <w:tc>
          <w:tcPr>
            <w:tcW w:type="dxa" w:w="26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3A4A5A"/>
                <w:sz w:val="18"/>
                <w:szCs w:val="18"/>
              </w:rPr>
              <w:t xml:space="preserve">Management</w:t>
            </w:r>
          </w:p>
        </w:tc>
        <w:tc>
          <w:tcPr>
            <w:tcW w:type="dxa" w:w="26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3A4A5A"/>
                <w:sz w:val="18"/>
                <w:szCs w:val="18"/>
              </w:rPr>
              <w:t xml:space="preserve">Managing Director</w:t>
            </w:r>
          </w:p>
        </w:tc>
        <w:tc>
          <w:tcPr>
            <w:tcW w:type="dxa" w:w="26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3A4A5A"/>
                <w:sz w:val="18"/>
                <w:szCs w:val="18"/>
              </w:rPr>
              <w:t xml:space="preserve"/>
            </w:r>
          </w:p>
        </w:tc>
      </w:tr>
    </w:tbl>
    <w:p>
      <w:pPr>
        <w:spacing w:after="0" w:before="200"/>
      </w:pPr>
    </w:p>
    <w:p>
      <w:pPr>
        <w:pStyle w:val="Heading2"/>
      </w:pPr>
      <w:r>
        <w:t xml:space="preserve">1. Objective</w:t>
      </w:r>
    </w:p>
    <w:p>
      <w:pPr>
        <w:spacing w:after="60" w:before="60"/>
      </w:pPr>
      <w:r>
        <w:rPr>
          <w:rFonts w:ascii="Arial" w:cs="Arial" w:eastAsia="Arial" w:hAnsi="Arial"/>
          <w:b w:val="false"/>
          <w:bCs w:val="false"/>
          <w:color w:val="3A4A5A"/>
          <w:sz w:val="22"/>
          <w:szCs w:val="22"/>
        </w:rPr>
        <w:t xml:space="preserve">The Remuneration Policy aims to attract, retain, and motivate talented employees through fair, competitive, and performance-linked compensation that aligns with Jera Consulting's strategic objectives and values.</w:t>
      </w:r>
    </w:p>
    <w:p>
      <w:pPr>
        <w:pStyle w:val="Heading2"/>
      </w:pPr>
      <w:r>
        <w:t xml:space="preserve">2. Scope</w:t>
      </w:r>
    </w:p>
    <w:p>
      <w:pPr>
        <w:spacing w:after="60" w:before="60"/>
      </w:pPr>
      <w:r>
        <w:rPr>
          <w:rFonts w:ascii="Arial" w:cs="Arial" w:eastAsia="Arial" w:hAnsi="Arial"/>
          <w:b w:val="false"/>
          <w:bCs w:val="false"/>
          <w:color w:val="3A4A5A"/>
          <w:sz w:val="22"/>
          <w:szCs w:val="22"/>
        </w:rPr>
        <w:t xml:space="preserve">This policy applies to all permanent employees of Jera Consulting (Pty) Ltd. It establishes principles for remuneration at all levels of the organisation.</w:t>
      </w:r>
    </w:p>
    <w:p>
      <w:pPr>
        <w:pStyle w:val="Heading2"/>
      </w:pPr>
      <w:r>
        <w:t xml:space="preserve">3. Remuneration Philosophy</w:t>
      </w:r>
    </w:p>
    <w:p>
      <w:pPr>
        <w:spacing w:after="60" w:before="60"/>
      </w:pPr>
      <w:r>
        <w:rPr>
          <w:rFonts w:ascii="Arial" w:cs="Arial" w:eastAsia="Arial" w:hAnsi="Arial"/>
          <w:b w:val="false"/>
          <w:bCs w:val="false"/>
          <w:color w:val="3A4A5A"/>
          <w:sz w:val="22"/>
          <w:szCs w:val="22"/>
        </w:rPr>
        <w:t xml:space="preserve">Jera Consulting's remuneration approach is founded on the following principles:</w:t>
      </w:r>
    </w:p>
    <w:p>
      <w:pPr>
        <w:pStyle w:val="ListParagraph"/>
        <w:numPr>
          <w:ilvl w:val="0"/>
          <w:numId w:val="2"/>
        </w:numPr>
      </w:pPr>
      <w:r>
        <w:rPr>
          <w:rFonts w:ascii="Arial" w:cs="Arial" w:eastAsia="Arial" w:hAnsi="Arial"/>
          <w:color w:val="3A4A5A"/>
          <w:sz w:val="22"/>
          <w:szCs w:val="22"/>
        </w:rPr>
        <w:t xml:space="preserve">Competitiveness: Total remuneration packages are benchmarked against relevant market data for similar roles.</w:t>
      </w:r>
    </w:p>
    <w:p>
      <w:pPr>
        <w:pStyle w:val="ListParagraph"/>
        <w:numPr>
          <w:ilvl w:val="0"/>
          <w:numId w:val="2"/>
        </w:numPr>
      </w:pPr>
      <w:r>
        <w:rPr>
          <w:rFonts w:ascii="Arial" w:cs="Arial" w:eastAsia="Arial" w:hAnsi="Arial"/>
          <w:color w:val="3A4A5A"/>
          <w:sz w:val="22"/>
          <w:szCs w:val="22"/>
        </w:rPr>
        <w:t xml:space="preserve">Performance-linked: Variable remuneration is tied to individual and company performance.</w:t>
      </w:r>
    </w:p>
    <w:p>
      <w:pPr>
        <w:pStyle w:val="ListParagraph"/>
        <w:numPr>
          <w:ilvl w:val="0"/>
          <w:numId w:val="2"/>
        </w:numPr>
      </w:pPr>
      <w:r>
        <w:rPr>
          <w:rFonts w:ascii="Arial" w:cs="Arial" w:eastAsia="Arial" w:hAnsi="Arial"/>
          <w:color w:val="3A4A5A"/>
          <w:sz w:val="22"/>
          <w:szCs w:val="22"/>
        </w:rPr>
        <w:t xml:space="preserve">Equity and fairness: Equal pay for work of equal value is maintained in accordance with the Employment Equity Act.</w:t>
      </w:r>
    </w:p>
    <w:p>
      <w:pPr>
        <w:pStyle w:val="ListParagraph"/>
        <w:numPr>
          <w:ilvl w:val="0"/>
          <w:numId w:val="2"/>
        </w:numPr>
      </w:pPr>
      <w:r>
        <w:rPr>
          <w:rFonts w:ascii="Arial" w:cs="Arial" w:eastAsia="Arial" w:hAnsi="Arial"/>
          <w:color w:val="3A4A5A"/>
          <w:sz w:val="22"/>
          <w:szCs w:val="22"/>
        </w:rPr>
        <w:t xml:space="preserve">Transparency: Remuneration principles are clearly communicated to employees.</w:t>
      </w:r>
    </w:p>
    <w:p>
      <w:pPr>
        <w:pStyle w:val="ListParagraph"/>
        <w:numPr>
          <w:ilvl w:val="0"/>
          <w:numId w:val="2"/>
        </w:numPr>
      </w:pPr>
      <w:r>
        <w:rPr>
          <w:rFonts w:ascii="Arial" w:cs="Arial" w:eastAsia="Arial" w:hAnsi="Arial"/>
          <w:color w:val="3A4A5A"/>
          <w:sz w:val="22"/>
          <w:szCs w:val="22"/>
        </w:rPr>
        <w:t xml:space="preserve">Sustainability: Remuneration levels are sustainable and aligned with business performance.</w:t>
      </w:r>
    </w:p>
    <w:p>
      <w:pPr>
        <w:pStyle w:val="Heading2"/>
      </w:pPr>
      <w:r>
        <w:t xml:space="preserve">4. Total Guaranteed Remuneration</w:t>
      </w:r>
    </w:p>
    <w:p>
      <w:pPr>
        <w:spacing w:after="60" w:before="60"/>
      </w:pPr>
      <w:r>
        <w:rPr>
          <w:rFonts w:ascii="Arial" w:cs="Arial" w:eastAsia="Arial" w:hAnsi="Arial"/>
          <w:b w:val="false"/>
          <w:bCs w:val="false"/>
          <w:color w:val="3A4A5A"/>
          <w:sz w:val="22"/>
          <w:szCs w:val="22"/>
        </w:rPr>
        <w:t xml:space="preserve">Total Guaranteed Remuneration (TGR) comprises:</w:t>
      </w:r>
    </w:p>
    <w:p>
      <w:pPr>
        <w:pStyle w:val="ListParagraph"/>
        <w:numPr>
          <w:ilvl w:val="0"/>
          <w:numId w:val="2"/>
        </w:numPr>
      </w:pPr>
      <w:r>
        <w:rPr>
          <w:rFonts w:ascii="Arial" w:cs="Arial" w:eastAsia="Arial" w:hAnsi="Arial"/>
          <w:color w:val="3A4A5A"/>
          <w:sz w:val="22"/>
          <w:szCs w:val="22"/>
        </w:rPr>
        <w:t xml:space="preserve">Basic salary: Core monthly compensation.</w:t>
      </w:r>
    </w:p>
    <w:p>
      <w:pPr>
        <w:pStyle w:val="ListParagraph"/>
        <w:numPr>
          <w:ilvl w:val="0"/>
          <w:numId w:val="2"/>
        </w:numPr>
      </w:pPr>
      <w:r>
        <w:rPr>
          <w:rFonts w:ascii="Arial" w:cs="Arial" w:eastAsia="Arial" w:hAnsi="Arial"/>
          <w:color w:val="3A4A5A"/>
          <w:sz w:val="22"/>
          <w:szCs w:val="22"/>
        </w:rPr>
        <w:t xml:space="preserve">Mandatory benefits: Contributions to medical aid, provident fund, and statutory requirements.</w:t>
      </w:r>
    </w:p>
    <w:p>
      <w:pPr>
        <w:pStyle w:val="ListParagraph"/>
        <w:numPr>
          <w:ilvl w:val="0"/>
          <w:numId w:val="2"/>
        </w:numPr>
      </w:pPr>
      <w:r>
        <w:rPr>
          <w:rFonts w:ascii="Arial" w:cs="Arial" w:eastAsia="Arial" w:hAnsi="Arial"/>
          <w:color w:val="3A4A5A"/>
          <w:sz w:val="22"/>
          <w:szCs w:val="22"/>
        </w:rPr>
        <w:t xml:space="preserve">Allowances: Where applicable (e.g., travel, housing, communication).</w:t>
      </w:r>
    </w:p>
    <w:p>
      <w:pPr>
        <w:spacing w:after="60" w:before="60"/>
      </w:pPr>
      <w:r>
        <w:rPr>
          <w:rFonts w:ascii="Arial" w:cs="Arial" w:eastAsia="Arial" w:hAnsi="Arial"/>
          <w:b w:val="false"/>
          <w:bCs w:val="false"/>
          <w:color w:val="3A4A5A"/>
          <w:sz w:val="22"/>
          <w:szCs w:val="22"/>
        </w:rPr>
        <w:t xml:space="preserve">Employees earning below R254,371.67 per annum are subject to the Basic Conditions of Employment Act (BCEA) provisions.</w:t>
      </w:r>
    </w:p>
    <w:p>
      <w:pPr>
        <w:pStyle w:val="Heading2"/>
      </w:pPr>
      <w:r>
        <w:t xml:space="preserve">5. Variable Remuneration and Bonus Scheme</w:t>
      </w:r>
    </w:p>
    <w:p>
      <w:pPr>
        <w:pStyle w:val="Heading3"/>
      </w:pPr>
      <w:r>
        <w:t xml:space="preserve">5.1 Bonus Eligibility</w:t>
      </w:r>
    </w:p>
    <w:p>
      <w:pPr>
        <w:spacing w:after="60" w:before="60"/>
      </w:pPr>
      <w:r>
        <w:rPr>
          <w:rFonts w:ascii="Arial" w:cs="Arial" w:eastAsia="Arial" w:hAnsi="Arial"/>
          <w:b w:val="false"/>
          <w:bCs w:val="false"/>
          <w:color w:val="3A4A5A"/>
          <w:sz w:val="22"/>
          <w:szCs w:val="22"/>
        </w:rPr>
        <w:t xml:space="preserve">All permanent employees are eligible for variable remuneration (bonus) based on performance. Bonus is not guaranteed and is contingent on:</w:t>
      </w:r>
    </w:p>
    <w:p>
      <w:pPr>
        <w:pStyle w:val="ListParagraph"/>
        <w:numPr>
          <w:ilvl w:val="0"/>
          <w:numId w:val="2"/>
        </w:numPr>
      </w:pPr>
      <w:r>
        <w:rPr>
          <w:rFonts w:ascii="Arial" w:cs="Arial" w:eastAsia="Arial" w:hAnsi="Arial"/>
          <w:color w:val="3A4A5A"/>
          <w:sz w:val="22"/>
          <w:szCs w:val="22"/>
        </w:rPr>
        <w:t xml:space="preserve">Company financial performance and profitability.</w:t>
      </w:r>
    </w:p>
    <w:p>
      <w:pPr>
        <w:pStyle w:val="ListParagraph"/>
        <w:numPr>
          <w:ilvl w:val="0"/>
          <w:numId w:val="2"/>
        </w:numPr>
      </w:pPr>
      <w:r>
        <w:rPr>
          <w:rFonts w:ascii="Arial" w:cs="Arial" w:eastAsia="Arial" w:hAnsi="Arial"/>
          <w:color w:val="3A4A5A"/>
          <w:sz w:val="22"/>
          <w:szCs w:val="22"/>
        </w:rPr>
        <w:t xml:space="preserve">Individual performance rating (see Performance Management Policy).</w:t>
      </w:r>
    </w:p>
    <w:p>
      <w:pPr>
        <w:pStyle w:val="ListParagraph"/>
        <w:numPr>
          <w:ilvl w:val="0"/>
          <w:numId w:val="2"/>
        </w:numPr>
      </w:pPr>
      <w:r>
        <w:rPr>
          <w:rFonts w:ascii="Arial" w:cs="Arial" w:eastAsia="Arial" w:hAnsi="Arial"/>
          <w:color w:val="3A4A5A"/>
          <w:sz w:val="22"/>
          <w:szCs w:val="22"/>
        </w:rPr>
        <w:t xml:space="preserve">Employment status throughout the performance period.</w:t>
      </w:r>
    </w:p>
    <w:p>
      <w:pPr>
        <w:pStyle w:val="Heading3"/>
      </w:pPr>
      <w:r>
        <w:t xml:space="preserve">5.2 Bonus Structure</w:t>
      </w:r>
    </w:p>
    <w:p>
      <w:pPr>
        <w:spacing w:after="60" w:before="60"/>
      </w:pPr>
      <w:r>
        <w:rPr>
          <w:rFonts w:ascii="Arial" w:cs="Arial" w:eastAsia="Arial" w:hAnsi="Arial"/>
          <w:b w:val="false"/>
          <w:bCs w:val="false"/>
          <w:color w:val="3A4A5A"/>
          <w:sz w:val="22"/>
          <w:szCs w:val="22"/>
        </w:rPr>
        <w:t xml:space="preserve">Variable remuneration is calculated as a percentage of TGR based on performance rating:</w:t>
      </w:r>
    </w:p>
    <w:p>
      <w:pPr>
        <w:pStyle w:val="ListParagraph"/>
        <w:numPr>
          <w:ilvl w:val="0"/>
          <w:numId w:val="2"/>
        </w:numPr>
      </w:pPr>
      <w:r>
        <w:rPr>
          <w:rFonts w:ascii="Arial" w:cs="Arial" w:eastAsia="Arial" w:hAnsi="Arial"/>
          <w:color w:val="3A4A5A"/>
          <w:sz w:val="22"/>
          <w:szCs w:val="22"/>
        </w:rPr>
        <w:t xml:space="preserve">Performance Rating 5 (Exceptional): Up to 20% of TGR.</w:t>
      </w:r>
    </w:p>
    <w:p>
      <w:pPr>
        <w:pStyle w:val="ListParagraph"/>
        <w:numPr>
          <w:ilvl w:val="0"/>
          <w:numId w:val="2"/>
        </w:numPr>
      </w:pPr>
      <w:r>
        <w:rPr>
          <w:rFonts w:ascii="Arial" w:cs="Arial" w:eastAsia="Arial" w:hAnsi="Arial"/>
          <w:color w:val="3A4A5A"/>
          <w:sz w:val="22"/>
          <w:szCs w:val="22"/>
        </w:rPr>
        <w:t xml:space="preserve">Performance Rating 4 (Exceeds Expectations): Up to 15% of TGR.</w:t>
      </w:r>
    </w:p>
    <w:p>
      <w:pPr>
        <w:pStyle w:val="ListParagraph"/>
        <w:numPr>
          <w:ilvl w:val="0"/>
          <w:numId w:val="2"/>
        </w:numPr>
      </w:pPr>
      <w:r>
        <w:rPr>
          <w:rFonts w:ascii="Arial" w:cs="Arial" w:eastAsia="Arial" w:hAnsi="Arial"/>
          <w:color w:val="3A4A5A"/>
          <w:sz w:val="22"/>
          <w:szCs w:val="22"/>
        </w:rPr>
        <w:t xml:space="preserve">Performance Rating 3 (Meets Expectations): Up to 10% of TGR.</w:t>
      </w:r>
    </w:p>
    <w:p>
      <w:pPr>
        <w:pStyle w:val="ListParagraph"/>
        <w:numPr>
          <w:ilvl w:val="0"/>
          <w:numId w:val="2"/>
        </w:numPr>
      </w:pPr>
      <w:r>
        <w:rPr>
          <w:rFonts w:ascii="Arial" w:cs="Arial" w:eastAsia="Arial" w:hAnsi="Arial"/>
          <w:color w:val="3A4A5A"/>
          <w:sz w:val="22"/>
          <w:szCs w:val="22"/>
        </w:rPr>
        <w:t xml:space="preserve">Performance Rating 2 (Below Expectations): No bonus payable.</w:t>
      </w:r>
    </w:p>
    <w:p>
      <w:pPr>
        <w:pStyle w:val="ListParagraph"/>
        <w:numPr>
          <w:ilvl w:val="0"/>
          <w:numId w:val="2"/>
        </w:numPr>
      </w:pPr>
      <w:r>
        <w:rPr>
          <w:rFonts w:ascii="Arial" w:cs="Arial" w:eastAsia="Arial" w:hAnsi="Arial"/>
          <w:color w:val="3A4A5A"/>
          <w:sz w:val="22"/>
          <w:szCs w:val="22"/>
        </w:rPr>
        <w:t xml:space="preserve">Performance Rating 1 (Does Not Meet): No bonus payable.</w:t>
      </w:r>
    </w:p>
    <w:p>
      <w:pPr>
        <w:spacing w:after="60" w:before="60"/>
      </w:pPr>
      <w:r>
        <w:rPr>
          <w:rFonts w:ascii="Arial" w:cs="Arial" w:eastAsia="Arial" w:hAnsi="Arial"/>
          <w:b w:val="false"/>
          <w:bCs w:val="false"/>
          <w:color w:val="3A4A5A"/>
          <w:sz w:val="22"/>
          <w:szCs w:val="22"/>
        </w:rPr>
        <w:t xml:space="preserve">Bonus payment is subject to company financial performance and discretionary approval by the Managing Director.</w:t>
      </w:r>
    </w:p>
    <w:p>
      <w:pPr>
        <w:pStyle w:val="Heading3"/>
      </w:pPr>
      <w:r>
        <w:t xml:space="preserve">5.3 Bonus Timing</w:t>
      </w:r>
    </w:p>
    <w:p>
      <w:pPr>
        <w:spacing w:after="60" w:before="60"/>
      </w:pPr>
      <w:r>
        <w:rPr>
          <w:rFonts w:ascii="Arial" w:cs="Arial" w:eastAsia="Arial" w:hAnsi="Arial"/>
          <w:b w:val="false"/>
          <w:bCs w:val="false"/>
          <w:color w:val="3A4A5A"/>
          <w:sz w:val="22"/>
          <w:szCs w:val="22"/>
        </w:rPr>
        <w:t xml:space="preserve">Variable remuneration is paid annually following completion of performance reviews, typically in the fourth quarter or as determined by management.</w:t>
      </w:r>
    </w:p>
    <w:p>
      <w:pPr>
        <w:pStyle w:val="Heading2"/>
      </w:pPr>
      <w:r>
        <w:t xml:space="preserve">6. Pay Equity and Equal Remuneration</w:t>
      </w:r>
    </w:p>
    <w:p>
      <w:pPr>
        <w:spacing w:after="60" w:before="60"/>
      </w:pPr>
      <w:r>
        <w:rPr>
          <w:rFonts w:ascii="Arial" w:cs="Arial" w:eastAsia="Arial" w:hAnsi="Arial"/>
          <w:b w:val="false"/>
          <w:bCs w:val="false"/>
          <w:color w:val="3A4A5A"/>
          <w:sz w:val="22"/>
          <w:szCs w:val="22"/>
        </w:rPr>
        <w:t xml:space="preserve">Jera Consulting is committed to pay equity principles:</w:t>
      </w:r>
    </w:p>
    <w:p>
      <w:pPr>
        <w:pStyle w:val="ListParagraph"/>
        <w:numPr>
          <w:ilvl w:val="0"/>
          <w:numId w:val="2"/>
        </w:numPr>
      </w:pPr>
      <w:r>
        <w:rPr>
          <w:rFonts w:ascii="Arial" w:cs="Arial" w:eastAsia="Arial" w:hAnsi="Arial"/>
          <w:color w:val="3A4A5A"/>
          <w:sz w:val="22"/>
          <w:szCs w:val="22"/>
        </w:rPr>
        <w:t xml:space="preserve">Equal pay is provided for work of equal value, as required by the Employment Equity Act.</w:t>
      </w:r>
    </w:p>
    <w:p>
      <w:pPr>
        <w:pStyle w:val="ListParagraph"/>
        <w:numPr>
          <w:ilvl w:val="0"/>
          <w:numId w:val="2"/>
        </w:numPr>
      </w:pPr>
      <w:r>
        <w:rPr>
          <w:rFonts w:ascii="Arial" w:cs="Arial" w:eastAsia="Arial" w:hAnsi="Arial"/>
          <w:color w:val="3A4A5A"/>
          <w:sz w:val="22"/>
          <w:szCs w:val="22"/>
        </w:rPr>
        <w:t xml:space="preserve">Remuneration decisions are based on objective criteria: role, responsibility, qualification, and performance.</w:t>
      </w:r>
    </w:p>
    <w:p>
      <w:pPr>
        <w:pStyle w:val="ListParagraph"/>
        <w:numPr>
          <w:ilvl w:val="0"/>
          <w:numId w:val="2"/>
        </w:numPr>
      </w:pPr>
      <w:r>
        <w:rPr>
          <w:rFonts w:ascii="Arial" w:cs="Arial" w:eastAsia="Arial" w:hAnsi="Arial"/>
          <w:color w:val="3A4A5A"/>
          <w:sz w:val="22"/>
          <w:szCs w:val="22"/>
        </w:rPr>
        <w:t xml:space="preserve">Remuneration reviews are conducted to identify and address any unexplained pay gaps.</w:t>
      </w:r>
    </w:p>
    <w:p>
      <w:pPr>
        <w:pStyle w:val="ListParagraph"/>
        <w:numPr>
          <w:ilvl w:val="0"/>
          <w:numId w:val="2"/>
        </w:numPr>
      </w:pPr>
      <w:r>
        <w:rPr>
          <w:rFonts w:ascii="Arial" w:cs="Arial" w:eastAsia="Arial" w:hAnsi="Arial"/>
          <w:color w:val="3A4A5A"/>
          <w:sz w:val="22"/>
          <w:szCs w:val="22"/>
        </w:rPr>
        <w:t xml:space="preserve">Employees may request a review of their remuneration if they believe it is inequitable.</w:t>
      </w:r>
    </w:p>
    <w:p>
      <w:pPr>
        <w:pStyle w:val="ListParagraph"/>
        <w:numPr>
          <w:ilvl w:val="0"/>
          <w:numId w:val="2"/>
        </w:numPr>
      </w:pPr>
      <w:r>
        <w:rPr>
          <w:rFonts w:ascii="Arial" w:cs="Arial" w:eastAsia="Arial" w:hAnsi="Arial"/>
          <w:color w:val="3A4A5A"/>
          <w:sz w:val="22"/>
          <w:szCs w:val="22"/>
        </w:rPr>
        <w:t xml:space="preserve">Any identified pay inequities are addressed through adjustment or explanation.</w:t>
      </w:r>
    </w:p>
    <w:p>
      <w:pPr>
        <w:pStyle w:val="Heading2"/>
      </w:pPr>
      <w:r>
        <w:t xml:space="preserve">7. Annual Remuneration Reviews</w:t>
      </w:r>
    </w:p>
    <w:p>
      <w:pPr>
        <w:spacing w:after="60" w:before="60"/>
      </w:pPr>
      <w:r>
        <w:rPr>
          <w:rFonts w:ascii="Arial" w:cs="Arial" w:eastAsia="Arial" w:hAnsi="Arial"/>
          <w:b w:val="false"/>
          <w:bCs w:val="false"/>
          <w:color w:val="3A4A5A"/>
          <w:sz w:val="22"/>
          <w:szCs w:val="22"/>
        </w:rPr>
        <w:t xml:space="preserve">Remuneration reviews are conducted annually, typically in the fourth quarter, based on:</w:t>
      </w:r>
    </w:p>
    <w:p>
      <w:pPr>
        <w:pStyle w:val="ListParagraph"/>
        <w:numPr>
          <w:ilvl w:val="0"/>
          <w:numId w:val="2"/>
        </w:numPr>
      </w:pPr>
      <w:r>
        <w:rPr>
          <w:rFonts w:ascii="Arial" w:cs="Arial" w:eastAsia="Arial" w:hAnsi="Arial"/>
          <w:color w:val="3A4A5A"/>
          <w:sz w:val="22"/>
          <w:szCs w:val="22"/>
        </w:rPr>
        <w:t xml:space="preserve">Individual performance rating and achievement of objectives.</w:t>
      </w:r>
    </w:p>
    <w:p>
      <w:pPr>
        <w:pStyle w:val="ListParagraph"/>
        <w:numPr>
          <w:ilvl w:val="0"/>
          <w:numId w:val="2"/>
        </w:numPr>
      </w:pPr>
      <w:r>
        <w:rPr>
          <w:rFonts w:ascii="Arial" w:cs="Arial" w:eastAsia="Arial" w:hAnsi="Arial"/>
          <w:color w:val="3A4A5A"/>
          <w:sz w:val="22"/>
          <w:szCs w:val="22"/>
        </w:rPr>
        <w:t xml:space="preserve">Market data and benchmarking for comparable roles.</w:t>
      </w:r>
    </w:p>
    <w:p>
      <w:pPr>
        <w:pStyle w:val="ListParagraph"/>
        <w:numPr>
          <w:ilvl w:val="0"/>
          <w:numId w:val="2"/>
        </w:numPr>
      </w:pPr>
      <w:r>
        <w:rPr>
          <w:rFonts w:ascii="Arial" w:cs="Arial" w:eastAsia="Arial" w:hAnsi="Arial"/>
          <w:color w:val="3A4A5A"/>
          <w:sz w:val="22"/>
          <w:szCs w:val="22"/>
        </w:rPr>
        <w:t xml:space="preserve">Company financial performance and profitability.</w:t>
      </w:r>
    </w:p>
    <w:p>
      <w:pPr>
        <w:pStyle w:val="ListParagraph"/>
        <w:numPr>
          <w:ilvl w:val="0"/>
          <w:numId w:val="2"/>
        </w:numPr>
      </w:pPr>
      <w:r>
        <w:rPr>
          <w:rFonts w:ascii="Arial" w:cs="Arial" w:eastAsia="Arial" w:hAnsi="Arial"/>
          <w:color w:val="3A4A5A"/>
          <w:sz w:val="22"/>
          <w:szCs w:val="22"/>
        </w:rPr>
        <w:t xml:space="preserve">Cost of living adjustments and inflation trends.</w:t>
      </w:r>
    </w:p>
    <w:p>
      <w:pPr>
        <w:pStyle w:val="ListParagraph"/>
        <w:numPr>
          <w:ilvl w:val="0"/>
          <w:numId w:val="2"/>
        </w:numPr>
      </w:pPr>
      <w:r>
        <w:rPr>
          <w:rFonts w:ascii="Arial" w:cs="Arial" w:eastAsia="Arial" w:hAnsi="Arial"/>
          <w:color w:val="3A4A5A"/>
          <w:sz w:val="22"/>
          <w:szCs w:val="22"/>
        </w:rPr>
        <w:t xml:space="preserve">Employee tenure and career development.</w:t>
      </w:r>
    </w:p>
    <w:p>
      <w:pPr>
        <w:spacing w:after="60" w:before="60"/>
      </w:pPr>
      <w:r>
        <w:rPr>
          <w:rFonts w:ascii="Arial" w:cs="Arial" w:eastAsia="Arial" w:hAnsi="Arial"/>
          <w:b w:val="false"/>
          <w:bCs w:val="false"/>
          <w:color w:val="3A4A5A"/>
          <w:sz w:val="22"/>
          <w:szCs w:val="22"/>
        </w:rPr>
        <w:t xml:space="preserve">Salary increases are not automatic and are contingent on performance and company financial health. Adjustments are effective from the start of the new financial year.</w:t>
      </w:r>
    </w:p>
    <w:p>
      <w:pPr>
        <w:pStyle w:val="Heading2"/>
      </w:pPr>
      <w:r>
        <w:t xml:space="preserve">8. Comparative Benchmarking</w:t>
      </w:r>
    </w:p>
    <w:p>
      <w:pPr>
        <w:spacing w:after="60" w:before="60"/>
      </w:pPr>
      <w:r>
        <w:rPr>
          <w:rFonts w:ascii="Arial" w:cs="Arial" w:eastAsia="Arial" w:hAnsi="Arial"/>
          <w:b w:val="false"/>
          <w:bCs w:val="false"/>
          <w:color w:val="3A4A5A"/>
          <w:sz w:val="22"/>
          <w:szCs w:val="22"/>
        </w:rPr>
        <w:t xml:space="preserve">Jera Consulting maintains competitiveness through:</w:t>
      </w:r>
    </w:p>
    <w:p>
      <w:pPr>
        <w:pStyle w:val="ListParagraph"/>
        <w:numPr>
          <w:ilvl w:val="0"/>
          <w:numId w:val="2"/>
        </w:numPr>
      </w:pPr>
      <w:r>
        <w:rPr>
          <w:rFonts w:ascii="Arial" w:cs="Arial" w:eastAsia="Arial" w:hAnsi="Arial"/>
          <w:color w:val="3A4A5A"/>
          <w:sz w:val="22"/>
          <w:szCs w:val="22"/>
        </w:rPr>
        <w:t xml:space="preserve">Annual market benchmarking against relevant industry and geographic comparators.</w:t>
      </w:r>
    </w:p>
    <w:p>
      <w:pPr>
        <w:pStyle w:val="ListParagraph"/>
        <w:numPr>
          <w:ilvl w:val="0"/>
          <w:numId w:val="2"/>
        </w:numPr>
      </w:pPr>
      <w:r>
        <w:rPr>
          <w:rFonts w:ascii="Arial" w:cs="Arial" w:eastAsia="Arial" w:hAnsi="Arial"/>
          <w:color w:val="3A4A5A"/>
          <w:sz w:val="22"/>
          <w:szCs w:val="22"/>
        </w:rPr>
        <w:t xml:space="preserve">Regular review of survey data from recognized HR consulting firms.</w:t>
      </w:r>
    </w:p>
    <w:p>
      <w:pPr>
        <w:pStyle w:val="ListParagraph"/>
        <w:numPr>
          <w:ilvl w:val="0"/>
          <w:numId w:val="2"/>
        </w:numPr>
      </w:pPr>
      <w:r>
        <w:rPr>
          <w:rFonts w:ascii="Arial" w:cs="Arial" w:eastAsia="Arial" w:hAnsi="Arial"/>
          <w:color w:val="3A4A5A"/>
          <w:sz w:val="22"/>
          <w:szCs w:val="22"/>
        </w:rPr>
        <w:t xml:space="preserve">Assessment of similar roles in consulting and professional services sectors.</w:t>
      </w:r>
    </w:p>
    <w:p>
      <w:pPr>
        <w:pStyle w:val="ListParagraph"/>
        <w:numPr>
          <w:ilvl w:val="0"/>
          <w:numId w:val="2"/>
        </w:numPr>
      </w:pPr>
      <w:r>
        <w:rPr>
          <w:rFonts w:ascii="Arial" w:cs="Arial" w:eastAsia="Arial" w:hAnsi="Arial"/>
          <w:color w:val="3A4A5A"/>
          <w:sz w:val="22"/>
          <w:szCs w:val="22"/>
        </w:rPr>
        <w:t xml:space="preserve">Adjustments to maintain competitive positioning for talent attraction and retention.</w:t>
      </w:r>
    </w:p>
    <w:p>
      <w:pPr>
        <w:pStyle w:val="Heading2"/>
      </w:pPr>
      <w:r>
        <w:t xml:space="preserve">9. Performance Management Mechanism</w:t>
      </w:r>
    </w:p>
    <w:p>
      <w:pPr>
        <w:spacing w:after="60" w:before="60"/>
      </w:pPr>
      <w:r>
        <w:rPr>
          <w:rFonts w:ascii="Arial" w:cs="Arial" w:eastAsia="Arial" w:hAnsi="Arial"/>
          <w:b w:val="false"/>
          <w:bCs w:val="false"/>
          <w:color w:val="3A4A5A"/>
          <w:sz w:val="22"/>
          <w:szCs w:val="22"/>
        </w:rPr>
        <w:t xml:space="preserve">Remuneration is linked to performance through the Balanced Scorecard (BSC) approach. Performance ratings are determined annually and form the basis for bonus calculations. Refer to the Performance Management Policy for detailed assessment criteria.</w:t>
      </w:r>
    </w:p>
    <w:p>
      <w:pPr>
        <w:pStyle w:val="Heading2"/>
      </w:pPr>
      <w:r>
        <w:t xml:space="preserve">10. Benefits and Deductions</w:t>
      </w:r>
    </w:p>
    <w:p>
      <w:pPr>
        <w:pStyle w:val="Heading3"/>
      </w:pPr>
      <w:r>
        <w:t xml:space="preserve">10.1 Statutory Benefits</w:t>
      </w:r>
    </w:p>
    <w:p>
      <w:pPr>
        <w:spacing w:after="60" w:before="60"/>
      </w:pPr>
      <w:r>
        <w:rPr>
          <w:rFonts w:ascii="Arial" w:cs="Arial" w:eastAsia="Arial" w:hAnsi="Arial"/>
          <w:b w:val="false"/>
          <w:bCs w:val="false"/>
          <w:color w:val="3A4A5A"/>
          <w:sz w:val="22"/>
          <w:szCs w:val="22"/>
        </w:rPr>
        <w:t xml:space="preserve">Employees are entitled to statutory benefits as required by law:</w:t>
      </w:r>
    </w:p>
    <w:p>
      <w:pPr>
        <w:pStyle w:val="ListParagraph"/>
        <w:numPr>
          <w:ilvl w:val="0"/>
          <w:numId w:val="2"/>
        </w:numPr>
      </w:pPr>
      <w:r>
        <w:rPr>
          <w:rFonts w:ascii="Arial" w:cs="Arial" w:eastAsia="Arial" w:hAnsi="Arial"/>
          <w:color w:val="3A4A5A"/>
          <w:sz w:val="22"/>
          <w:szCs w:val="22"/>
        </w:rPr>
        <w:t xml:space="preserve">Unemployment Insurance Fund (UIF) contributions.</w:t>
      </w:r>
    </w:p>
    <w:p>
      <w:pPr>
        <w:pStyle w:val="ListParagraph"/>
        <w:numPr>
          <w:ilvl w:val="0"/>
          <w:numId w:val="2"/>
        </w:numPr>
      </w:pPr>
      <w:r>
        <w:rPr>
          <w:rFonts w:ascii="Arial" w:cs="Arial" w:eastAsia="Arial" w:hAnsi="Arial"/>
          <w:color w:val="3A4A5A"/>
          <w:sz w:val="22"/>
          <w:szCs w:val="22"/>
        </w:rPr>
        <w:t xml:space="preserve">Workmen's Compensation contributions.</w:t>
      </w:r>
    </w:p>
    <w:p>
      <w:pPr>
        <w:pStyle w:val="ListParagraph"/>
        <w:numPr>
          <w:ilvl w:val="0"/>
          <w:numId w:val="2"/>
        </w:numPr>
      </w:pPr>
      <w:r>
        <w:rPr>
          <w:rFonts w:ascii="Arial" w:cs="Arial" w:eastAsia="Arial" w:hAnsi="Arial"/>
          <w:color w:val="3A4A5A"/>
          <w:sz w:val="22"/>
          <w:szCs w:val="22"/>
        </w:rPr>
        <w:t xml:space="preserve">Leave entitlements (annual, sick, family responsibility).</w:t>
      </w:r>
    </w:p>
    <w:p>
      <w:pPr>
        <w:pStyle w:val="Heading3"/>
      </w:pPr>
      <w:r>
        <w:t xml:space="preserve">10.2 Voluntary Benefits</w:t>
      </w:r>
    </w:p>
    <w:p>
      <w:pPr>
        <w:spacing w:after="60" w:before="60"/>
      </w:pPr>
      <w:r>
        <w:rPr>
          <w:rFonts w:ascii="Arial" w:cs="Arial" w:eastAsia="Arial" w:hAnsi="Arial"/>
          <w:b w:val="false"/>
          <w:bCs w:val="false"/>
          <w:color w:val="3A4A5A"/>
          <w:sz w:val="22"/>
          <w:szCs w:val="22"/>
        </w:rPr>
        <w:t xml:space="preserve">Subject to legislative requirements and company policy, employees may participate in:</w:t>
      </w:r>
    </w:p>
    <w:p>
      <w:pPr>
        <w:pStyle w:val="ListParagraph"/>
        <w:numPr>
          <w:ilvl w:val="0"/>
          <w:numId w:val="2"/>
        </w:numPr>
      </w:pPr>
      <w:r>
        <w:rPr>
          <w:rFonts w:ascii="Arial" w:cs="Arial" w:eastAsia="Arial" w:hAnsi="Arial"/>
          <w:color w:val="3A4A5A"/>
          <w:sz w:val="22"/>
          <w:szCs w:val="22"/>
        </w:rPr>
        <w:t xml:space="preserve">Medical aid schemes (mandatory for qualifying employees).</w:t>
      </w:r>
    </w:p>
    <w:p>
      <w:pPr>
        <w:pStyle w:val="ListParagraph"/>
        <w:numPr>
          <w:ilvl w:val="0"/>
          <w:numId w:val="2"/>
        </w:numPr>
      </w:pPr>
      <w:r>
        <w:rPr>
          <w:rFonts w:ascii="Arial" w:cs="Arial" w:eastAsia="Arial" w:hAnsi="Arial"/>
          <w:color w:val="3A4A5A"/>
          <w:sz w:val="22"/>
          <w:szCs w:val="22"/>
        </w:rPr>
        <w:t xml:space="preserve">Provident or pension funds.</w:t>
      </w:r>
    </w:p>
    <w:p>
      <w:pPr>
        <w:pStyle w:val="ListParagraph"/>
        <w:numPr>
          <w:ilvl w:val="0"/>
          <w:numId w:val="2"/>
        </w:numPr>
      </w:pPr>
      <w:r>
        <w:rPr>
          <w:rFonts w:ascii="Arial" w:cs="Arial" w:eastAsia="Arial" w:hAnsi="Arial"/>
          <w:color w:val="3A4A5A"/>
          <w:sz w:val="22"/>
          <w:szCs w:val="22"/>
        </w:rPr>
        <w:t xml:space="preserve">Group insurance schemes.</w:t>
      </w:r>
    </w:p>
    <w:p>
      <w:pPr>
        <w:pStyle w:val="Heading3"/>
      </w:pPr>
      <w:r>
        <w:t xml:space="preserve">10.3 Payroll Deductions</w:t>
      </w:r>
    </w:p>
    <w:p>
      <w:pPr>
        <w:spacing w:after="60" w:before="60"/>
      </w:pPr>
      <w:r>
        <w:rPr>
          <w:rFonts w:ascii="Arial" w:cs="Arial" w:eastAsia="Arial" w:hAnsi="Arial"/>
          <w:b w:val="false"/>
          <w:bCs w:val="false"/>
          <w:color w:val="3A4A5A"/>
          <w:sz w:val="22"/>
          <w:szCs w:val="22"/>
        </w:rPr>
        <w:t xml:space="preserve">Lawful deductions may be made from salary for:</w:t>
      </w:r>
    </w:p>
    <w:p>
      <w:pPr>
        <w:pStyle w:val="ListParagraph"/>
        <w:numPr>
          <w:ilvl w:val="0"/>
          <w:numId w:val="2"/>
        </w:numPr>
      </w:pPr>
      <w:r>
        <w:rPr>
          <w:rFonts w:ascii="Arial" w:cs="Arial" w:eastAsia="Arial" w:hAnsi="Arial"/>
          <w:color w:val="3A4A5A"/>
          <w:sz w:val="22"/>
          <w:szCs w:val="22"/>
        </w:rPr>
        <w:t xml:space="preserve">Statutory obligations (tax, UIF, pension contributions).</w:t>
      </w:r>
    </w:p>
    <w:p>
      <w:pPr>
        <w:pStyle w:val="ListParagraph"/>
        <w:numPr>
          <w:ilvl w:val="0"/>
          <w:numId w:val="2"/>
        </w:numPr>
      </w:pPr>
      <w:r>
        <w:rPr>
          <w:rFonts w:ascii="Arial" w:cs="Arial" w:eastAsia="Arial" w:hAnsi="Arial"/>
          <w:color w:val="3A4A5A"/>
          <w:sz w:val="22"/>
          <w:szCs w:val="22"/>
        </w:rPr>
        <w:t xml:space="preserve">Benefit scheme contributions.</w:t>
      </w:r>
    </w:p>
    <w:p>
      <w:pPr>
        <w:pStyle w:val="ListParagraph"/>
        <w:numPr>
          <w:ilvl w:val="0"/>
          <w:numId w:val="2"/>
        </w:numPr>
      </w:pPr>
      <w:r>
        <w:rPr>
          <w:rFonts w:ascii="Arial" w:cs="Arial" w:eastAsia="Arial" w:hAnsi="Arial"/>
          <w:color w:val="3A4A5A"/>
          <w:sz w:val="22"/>
          <w:szCs w:val="22"/>
        </w:rPr>
        <w:t xml:space="preserve">Court orders or legal garnishees.</w:t>
      </w:r>
    </w:p>
    <w:p>
      <w:pPr>
        <w:pStyle w:val="ListParagraph"/>
        <w:numPr>
          <w:ilvl w:val="0"/>
          <w:numId w:val="2"/>
        </w:numPr>
      </w:pPr>
      <w:r>
        <w:rPr>
          <w:rFonts w:ascii="Arial" w:cs="Arial" w:eastAsia="Arial" w:hAnsi="Arial"/>
          <w:color w:val="3A4A5A"/>
          <w:sz w:val="22"/>
          <w:szCs w:val="22"/>
        </w:rPr>
        <w:t xml:space="preserve">Loan repayments or advances (with written consent).</w:t>
      </w:r>
    </w:p>
    <w:p>
      <w:pPr>
        <w:pStyle w:val="Heading2"/>
      </w:pPr>
      <w:r>
        <w:t xml:space="preserve">11. Pay Transparency</w:t>
      </w:r>
    </w:p>
    <w:p>
      <w:pPr>
        <w:spacing w:after="60" w:before="60"/>
      </w:pPr>
      <w:r>
        <w:rPr>
          <w:rFonts w:ascii="Arial" w:cs="Arial" w:eastAsia="Arial" w:hAnsi="Arial"/>
          <w:b w:val="false"/>
          <w:bCs w:val="false"/>
          <w:color w:val="3A4A5A"/>
          <w:sz w:val="22"/>
          <w:szCs w:val="22"/>
        </w:rPr>
        <w:t xml:space="preserve">Jera Consulting believes in pay transparency:</w:t>
      </w:r>
    </w:p>
    <w:p>
      <w:pPr>
        <w:pStyle w:val="ListParagraph"/>
        <w:numPr>
          <w:ilvl w:val="0"/>
          <w:numId w:val="2"/>
        </w:numPr>
      </w:pPr>
      <w:r>
        <w:rPr>
          <w:rFonts w:ascii="Arial" w:cs="Arial" w:eastAsia="Arial" w:hAnsi="Arial"/>
          <w:color w:val="3A4A5A"/>
          <w:sz w:val="22"/>
          <w:szCs w:val="22"/>
        </w:rPr>
        <w:t xml:space="preserve">Remuneration philosophy and principles are communicated to all employees.</w:t>
      </w:r>
    </w:p>
    <w:p>
      <w:pPr>
        <w:pStyle w:val="ListParagraph"/>
        <w:numPr>
          <w:ilvl w:val="0"/>
          <w:numId w:val="2"/>
        </w:numPr>
      </w:pPr>
      <w:r>
        <w:rPr>
          <w:rFonts w:ascii="Arial" w:cs="Arial" w:eastAsia="Arial" w:hAnsi="Arial"/>
          <w:color w:val="3A4A5A"/>
          <w:sz w:val="22"/>
          <w:szCs w:val="22"/>
        </w:rPr>
        <w:t xml:space="preserve">Performance and bonus criteria are clearly explained.</w:t>
      </w:r>
    </w:p>
    <w:p>
      <w:pPr>
        <w:pStyle w:val="ListParagraph"/>
        <w:numPr>
          <w:ilvl w:val="0"/>
          <w:numId w:val="2"/>
        </w:numPr>
      </w:pPr>
      <w:r>
        <w:rPr>
          <w:rFonts w:ascii="Arial" w:cs="Arial" w:eastAsia="Arial" w:hAnsi="Arial"/>
          <w:color w:val="3A4A5A"/>
          <w:sz w:val="22"/>
          <w:szCs w:val="22"/>
        </w:rPr>
        <w:t xml:space="preserve">Individual remuneration reviews are conducted confidentially with employees.</w:t>
      </w:r>
    </w:p>
    <w:p>
      <w:pPr>
        <w:pStyle w:val="ListParagraph"/>
        <w:numPr>
          <w:ilvl w:val="0"/>
          <w:numId w:val="2"/>
        </w:numPr>
      </w:pPr>
      <w:r>
        <w:rPr>
          <w:rFonts w:ascii="Arial" w:cs="Arial" w:eastAsia="Arial" w:hAnsi="Arial"/>
          <w:color w:val="3A4A5A"/>
          <w:sz w:val="22"/>
          <w:szCs w:val="22"/>
        </w:rPr>
        <w:t xml:space="preserve">Employees may request information about their own remuneration.</w:t>
      </w:r>
    </w:p>
    <w:p>
      <w:pPr>
        <w:pStyle w:val="Heading2"/>
      </w:pPr>
      <w:r>
        <w:t xml:space="preserve">12. Termination and Final Payment</w:t>
      </w:r>
    </w:p>
    <w:p>
      <w:pPr>
        <w:spacing w:after="60" w:before="60"/>
      </w:pPr>
      <w:r>
        <w:rPr>
          <w:rFonts w:ascii="Arial" w:cs="Arial" w:eastAsia="Arial" w:hAnsi="Arial"/>
          <w:b w:val="false"/>
          <w:bCs w:val="false"/>
          <w:color w:val="3A4A5A"/>
          <w:sz w:val="22"/>
          <w:szCs w:val="22"/>
        </w:rPr>
        <w:t xml:space="preserve">Upon termination of employment, the employee receives:</w:t>
      </w:r>
    </w:p>
    <w:p>
      <w:pPr>
        <w:pStyle w:val="ListParagraph"/>
        <w:numPr>
          <w:ilvl w:val="0"/>
          <w:numId w:val="2"/>
        </w:numPr>
      </w:pPr>
      <w:r>
        <w:rPr>
          <w:rFonts w:ascii="Arial" w:cs="Arial" w:eastAsia="Arial" w:hAnsi="Arial"/>
          <w:color w:val="3A4A5A"/>
          <w:sz w:val="22"/>
          <w:szCs w:val="22"/>
        </w:rPr>
        <w:t xml:space="preserve">All accrued salary and wages due to the date of termination.</w:t>
      </w:r>
    </w:p>
    <w:p>
      <w:pPr>
        <w:pStyle w:val="ListParagraph"/>
        <w:numPr>
          <w:ilvl w:val="0"/>
          <w:numId w:val="2"/>
        </w:numPr>
      </w:pPr>
      <w:r>
        <w:rPr>
          <w:rFonts w:ascii="Arial" w:cs="Arial" w:eastAsia="Arial" w:hAnsi="Arial"/>
          <w:color w:val="3A4A5A"/>
          <w:sz w:val="22"/>
          <w:szCs w:val="22"/>
        </w:rPr>
        <w:t xml:space="preserve">Payment of accrued leave (annual, sick, and other leave as applicable).</w:t>
      </w:r>
    </w:p>
    <w:p>
      <w:pPr>
        <w:pStyle w:val="ListParagraph"/>
        <w:numPr>
          <w:ilvl w:val="0"/>
          <w:numId w:val="2"/>
        </w:numPr>
      </w:pPr>
      <w:r>
        <w:rPr>
          <w:rFonts w:ascii="Arial" w:cs="Arial" w:eastAsia="Arial" w:hAnsi="Arial"/>
          <w:color w:val="3A4A5A"/>
          <w:sz w:val="22"/>
          <w:szCs w:val="22"/>
        </w:rPr>
        <w:t xml:space="preserve">Payment of accrued bonus (if earned and payable under this policy).</w:t>
      </w:r>
    </w:p>
    <w:p>
      <w:pPr>
        <w:pStyle w:val="ListParagraph"/>
        <w:numPr>
          <w:ilvl w:val="0"/>
          <w:numId w:val="2"/>
        </w:numPr>
      </w:pPr>
      <w:r>
        <w:rPr>
          <w:rFonts w:ascii="Arial" w:cs="Arial" w:eastAsia="Arial" w:hAnsi="Arial"/>
          <w:color w:val="3A4A5A"/>
          <w:sz w:val="22"/>
          <w:szCs w:val="22"/>
        </w:rPr>
        <w:t xml:space="preserve">Any other payments due under contract or law.</w:t>
      </w:r>
    </w:p>
    <w:p>
      <w:pPr>
        <w:pStyle w:val="ListParagraph"/>
        <w:numPr>
          <w:ilvl w:val="0"/>
          <w:numId w:val="2"/>
        </w:numPr>
      </w:pPr>
      <w:r>
        <w:rPr>
          <w:rFonts w:ascii="Arial" w:cs="Arial" w:eastAsia="Arial" w:hAnsi="Arial"/>
          <w:color w:val="3A4A5A"/>
          <w:sz w:val="22"/>
          <w:szCs w:val="22"/>
        </w:rPr>
        <w:t xml:space="preserve">Deductions for losses caused by employee misconduct (where lawful).</w:t>
      </w:r>
    </w:p>
    <w:p>
      <w:pPr>
        <w:pStyle w:val="Heading2"/>
      </w:pPr>
      <w:r>
        <w:t xml:space="preserve">13. Policy Review and Amendment</w:t>
      </w:r>
    </w:p>
    <w:p>
      <w:pPr>
        <w:spacing w:after="60" w:before="60"/>
      </w:pPr>
      <w:r>
        <w:rPr>
          <w:rFonts w:ascii="Arial" w:cs="Arial" w:eastAsia="Arial" w:hAnsi="Arial"/>
          <w:b w:val="false"/>
          <w:bCs w:val="false"/>
          <w:color w:val="3A4A5A"/>
          <w:sz w:val="22"/>
          <w:szCs w:val="22"/>
        </w:rPr>
        <w:t xml:space="preserve">This policy is reviewed annually and may be amended based on market conditions, company performance, and legislative changes. Employees will be notified of material amendments.</w:t>
      </w:r>
    </w:p>
    <w:p>
      <w:pPr>
        <w:spacing w:after="0" w:before="300"/>
      </w:pPr>
    </w:p>
    <w:p>
      <w:pPr>
        <w:pStyle w:val="Heading2"/>
      </w:pPr>
      <w:r>
        <w:t xml:space="preserve">Sign-Off</w:t>
      </w:r>
    </w:p>
    <w:p>
      <w:pPr>
        <w:spacing w:after="60" w:before="60"/>
      </w:pPr>
      <w:r>
        <w:rPr>
          <w:rFonts w:ascii="Arial" w:cs="Arial" w:eastAsia="Arial" w:hAnsi="Arial"/>
          <w:b w:val="false"/>
          <w:bCs w:val="false"/>
          <w:color w:val="3A4A5A"/>
          <w:sz w:val="22"/>
          <w:szCs w:val="22"/>
        </w:rPr>
        <w:t xml:space="preserve">This policy has been reviewed and approved by the undersigned.</w:t>
      </w:r>
    </w:p>
    <w:p>
      <w:pPr>
        <w:spacing w:after="0" w:before="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16"/>
        <w:gridCol w:w="2617"/>
        <w:gridCol w:w="3116"/>
        <w:gridCol w:w="2117"/>
      </w:tblGrid>
      <w:tr>
        <w:tc>
          <w:tcPr>
            <w:tcW w:type="dxa" w:w="2616"/>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2617"/>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3116"/>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Signature</w:t>
            </w:r>
          </w:p>
        </w:tc>
        <w:tc>
          <w:tcPr>
            <w:tcW w:type="dxa" w:w="2117"/>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Date</w:t>
            </w:r>
          </w:p>
        </w:tc>
      </w:tr>
      <w:tr>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31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1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r>
      <w:tr>
        <w:tc>
          <w:tcPr>
            <w:tcW w:type="dxa" w:w="26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6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31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1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r>
      <w:tr>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31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1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r>
    </w:tbl>
    <w:p>
      <w:pPr>
        <w:spacing w:after="0" w:before="200"/>
      </w:pPr>
    </w:p>
    <w:p>
      <w:pPr>
        <w:pStyle w:val="Heading2"/>
      </w:pPr>
      <w:r>
        <w:t xml:space="preserve">Communication and Amendments</w:t>
      </w:r>
    </w:p>
    <w:p>
      <w:pPr>
        <w:pStyle w:val="ListParagraph"/>
        <w:numPr>
          <w:ilvl w:val="0"/>
          <w:numId w:val="2"/>
        </w:numPr>
      </w:pPr>
      <w:r>
        <w:rPr>
          <w:rFonts w:ascii="Arial" w:cs="Arial" w:eastAsia="Arial" w:hAnsi="Arial"/>
          <w:color w:val="3A4A5A"/>
          <w:sz w:val="22"/>
          <w:szCs w:val="22"/>
        </w:rPr>
        <w:t xml:space="preserve">Managers and team leaders must communicate this policy to all employees reporting to them.</w:t>
      </w:r>
    </w:p>
    <w:p>
      <w:pPr>
        <w:pStyle w:val="ListParagraph"/>
        <w:numPr>
          <w:ilvl w:val="0"/>
          <w:numId w:val="2"/>
        </w:numPr>
      </w:pPr>
      <w:r>
        <w:rPr>
          <w:rFonts w:ascii="Arial" w:cs="Arial" w:eastAsia="Arial" w:hAnsi="Arial"/>
          <w:color w:val="3A4A5A"/>
          <w:sz w:val="22"/>
          <w:szCs w:val="22"/>
        </w:rPr>
        <w:t xml:space="preserve">This policy may be amended from time to time without prior consultation or notice, subject to applicable legislation.</w:t>
      </w:r>
    </w:p>
    <w:p>
      <w:pPr>
        <w:pStyle w:val="ListParagraph"/>
        <w:numPr>
          <w:ilvl w:val="0"/>
          <w:numId w:val="2"/>
        </w:numPr>
      </w:pPr>
      <w:r>
        <w:rPr>
          <w:rFonts w:ascii="Arial" w:cs="Arial" w:eastAsia="Arial" w:hAnsi="Arial"/>
          <w:color w:val="3A4A5A"/>
          <w:sz w:val="22"/>
          <w:szCs w:val="22"/>
        </w:rPr>
        <w:t xml:space="preserve">The most current version of this policy will be made available on the company intranet or shared document repository.</w:t>
      </w:r>
    </w:p>
    <w:sectPr>
      <w:headerReference w:type="default" r:id="rId7"/>
      <w:footerReference w:type="default" r:id="rId8"/>
      <w:pgSz w:w="11906" w:h="16838" w:orient="portrait"/>
      <w:pgMar w:top="720" w:right="720" w:bottom="144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466"/>
      <w:tblBorders>
        <w:top w:val="none"/>
        <w:left w:val="none"/>
        <w:bottom w:val="none"/>
        <w:right w:val="none"/>
        <w:insideH w:val="single" w:color="auto" w:sz="4"/>
        <w:insideV w:val="single" w:color="auto" w:sz="4"/>
      </w:tblBorders>
    </w:tblPr>
    <w:tblGrid>
      <w:gridCol w:w="6800"/>
      <w:gridCol w:w="3666"/>
    </w:tblGrid>
    <w:tr>
      <w:tc>
        <w:tcPr>
          <w:tcW w:type="dxa" w:w="6800"/>
          <w:tcBorders>
            <w:top w:val="single" w:color="DDE1EA" w:sz="4"/>
            <w:left w:val="none"/>
            <w:bottom w:val="none"/>
            <w:right w:val="none"/>
          </w:tcBorders>
          <w:tcMar>
            <w:top w:type="dxa" w:w="80"/>
            <w:left w:type="dxa" w:w="0"/>
            <w:bottom w:type="dxa" w:w="0"/>
            <w:right w:type="dxa" w:w="120"/>
          </w:tcMar>
        </w:tcPr>
        <w:p>
          <w:pPr>
            <w:spacing w:after="0" w:before="80"/>
          </w:pPr>
          <w:r>
            <w:rPr>
              <w:rFonts w:ascii="Arial" w:cs="Arial" w:eastAsia="Arial" w:hAnsi="Arial"/>
              <w:color w:val="8A98A8"/>
              <w:sz w:val="14"/>
              <w:szCs w:val="14"/>
            </w:rPr>
            <w:t xml:space="preserve">256 Rondebult Rd, Parkdene, Boksburg, 1459, Gauteng  |  Tel: +27(0)11-913-3320</w:t>
          </w:r>
        </w:p>
        <w:p>
          <w:pPr>
            <w:spacing w:after="0" w:before="20"/>
          </w:pPr>
          <w:r>
            <w:rPr>
              <w:rFonts w:ascii="Arial" w:cs="Arial" w:eastAsia="Arial" w:hAnsi="Arial"/>
              <w:color w:val="8A98A8"/>
              <w:sz w:val="14"/>
              <w:szCs w:val="14"/>
            </w:rPr>
            <w:t xml:space="preserve">Reg No: 1988/007393/07  |  VAT: 4210112126  |  Est. 1988</w:t>
          </w:r>
        </w:p>
        <w:p>
          <w:pPr>
            <w:spacing w:after="0" w:before="20"/>
          </w:pPr>
          <w:r>
            <w:rPr>
              <w:rFonts w:ascii="Arial" w:cs="Arial" w:eastAsia="Arial" w:hAnsi="Arial"/>
              <w:color w:val="8A98A8"/>
              <w:sz w:val="14"/>
              <w:szCs w:val="14"/>
            </w:rPr>
            <w:t xml:space="preserve">Directors: R.A. de Kock (Managing), C. Haasbroek</w:t>
          </w:r>
        </w:p>
      </w:tc>
      <w:tc>
        <w:tcPr>
          <w:tcW w:type="dxa" w:w="3666"/>
          <w:tcBorders>
            <w:top w:val="single" w:color="DDE1EA" w:sz="4"/>
            <w:left w:val="none"/>
            <w:bottom w:val="none"/>
            <w:right w:val="none"/>
          </w:tcBorders>
          <w:tcMar>
            <w:top w:type="dxa" w:w="80"/>
            <w:left w:type="dxa" w:w="120"/>
            <w:bottom w:type="dxa" w:w="0"/>
            <w:right w:type="dxa" w:w="0"/>
          </w:tcMar>
          <w:vAlign w:val="center"/>
        </w:tcPr>
        <w:p>
          <w:pPr>
            <w:spacing w:after="0" w:before="0"/>
            <w:jc w:val="right"/>
          </w:pPr>
          <w:r>
            <w:rPr>
              <w:rFonts w:ascii="Arial" w:cs="Arial" w:eastAsia="Arial" w:hAnsi="Arial"/>
              <w:color w:val="1B6FFF"/>
              <w:sz w:val="14"/>
              <w:szCs w:val="14"/>
            </w:rPr>
            <w:t xml:space="preserve">jera.co.za</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FFF" w:sz="16" w:space="4"/>
      </w:pBdr>
      <w:spacing w:after="0"/>
      <w:jc w:val="left"/>
    </w:pPr>
    <w:r>
      <w:drawing>
        <wp:inline distT="0" distB="0" distL="0" distR="0">
          <wp:extent cx="1619250" cy="619125"/>
          <wp:effectExtent t="0" r="0" b="0" l="0"/>
          <wp:docPr id="1" name="JeraLogo" descr="Jera Consulting Logo" title="Je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0" cy="6191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4A5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jc w:val="center"/>
      <w:outlineLvl w:val="0"/>
    </w:pPr>
    <w:rPr>
      <w:rFonts w:ascii="Arial" w:cs="Arial" w:eastAsia="Arial" w:hAnsi="Arial"/>
      <w:b/>
      <w:bCs/>
      <w:color w:val="1A2F50"/>
      <w:sz w:val="32"/>
      <w:szCs w:val="32"/>
    </w:rPr>
  </w:style>
  <w:style w:type="paragraph" w:styleId="Heading2">
    <w:name w:val="Heading 2"/>
    <w:basedOn w:val="Normal"/>
    <w:next w:val="Normal"/>
    <w:qFormat/>
    <w:pPr>
      <w:pBdr>
        <w:bottom w:val="single" w:color="1B6FFF" w:sz="8" w:space="4"/>
      </w:pBdr>
      <w:spacing w:after="120" w:before="240"/>
      <w:outlineLvl w:val="1"/>
    </w:pPr>
    <w:rPr>
      <w:rFonts w:ascii="Arial" w:cs="Arial" w:eastAsia="Arial" w:hAnsi="Arial"/>
      <w:b/>
      <w:bCs/>
      <w:color w:val="1B6FFF"/>
      <w:sz w:val="24"/>
      <w:szCs w:val="24"/>
    </w:rPr>
  </w:style>
  <w:style w:type="paragraph" w:styleId="Heading3">
    <w:name w:val="Heading 3"/>
    <w:basedOn w:val="Normal"/>
    <w:next w:val="Normal"/>
    <w:qFormat/>
    <w:pPr>
      <w:spacing w:after="80" w:before="160"/>
      <w:outlineLvl w:val="2"/>
    </w:pPr>
    <w:rPr>
      <w:rFonts w:ascii="Arial" w:cs="Arial" w:eastAsia="Arial" w:hAnsi="Arial"/>
      <w:b/>
      <w:bCs/>
      <w:color w:val="1A2F50"/>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72655ee311d7e1297b04267f2333d1d98c19f2f.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33F60F771545E4FACCF5894FE890AE5" ma:contentTypeVersion="15" ma:contentTypeDescription="Create a new document." ma:contentTypeScope="" ma:versionID="2b5c8ba39e76d01cd5d87bb3fb98a620">
  <xsd:schema xmlns:xsd="http://www.w3.org/2001/XMLSchema" xmlns:xs="http://www.w3.org/2001/XMLSchema" xmlns:p="http://schemas.microsoft.com/office/2006/metadata/properties" xmlns:ns2="f32016ad-11d9-44d0-8f3a-f66ac62173df" xmlns:ns3="5392da11-5a5e-4873-aaa8-5acd18bf386b" targetNamespace="http://schemas.microsoft.com/office/2006/metadata/properties" ma:root="true" ma:fieldsID="6965f6421835919e11ab26e359dd715d" ns2:_="" ns3:_="">
    <xsd:import namespace="f32016ad-11d9-44d0-8f3a-f66ac62173df"/>
    <xsd:import namespace="5392da11-5a5e-4873-aaa8-5acd18bf386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2016ad-11d9-44d0-8f3a-f66ac62173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81e0656-4278-4ea6-a847-5feef180643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392da11-5a5e-4873-aaa8-5acd18bf386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65f4919-6599-4675-964d-ce44e3cd8aec}" ma:internalName="TaxCatchAll" ma:showField="CatchAllData" ma:web="5392da11-5a5e-4873-aaa8-5acd18bf386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392da11-5a5e-4873-aaa8-5acd18bf386b" xsi:nil="true"/>
    <lcf76f155ced4ddcb4097134ff3c332f xmlns="f32016ad-11d9-44d0-8f3a-f66ac62173d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13EEC58-BFCA-492D-B5AE-9ED717CADB6E}"/>
</file>

<file path=customXml/itemProps2.xml><?xml version="1.0" encoding="utf-8"?>
<ds:datastoreItem xmlns:ds="http://schemas.openxmlformats.org/officeDocument/2006/customXml" ds:itemID="{5E691CDF-2D51-40AE-8C7B-58EB6BFDD503}"/>
</file>

<file path=customXml/itemProps3.xml><?xml version="1.0" encoding="utf-8"?>
<ds:datastoreItem xmlns:ds="http://schemas.openxmlformats.org/officeDocument/2006/customXml" ds:itemID="{B4057C04-EB99-44BD-A814-6DF62621246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2026-04-13T13:53:52Z</dcterms:created>
  <dcterms:modified xsi:type="dcterms:W3CDTF">2026-04-13T13:53:52Z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0x010100133F60F771545E4FACCF5894FE890AE5</vt:lpwstr>
  </property>
  <property fmtid="{D5CDD505-2E9C-101B-9397-08002B2CF9AE}" pid="3" name="MediaServiceImageTags">
    <vt:lpwstr/>
  </property>
</Properties>
</file>