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F50" w:val="clear"/>
        <w:tabs>
          <w:tab w:val="right" w:pos="10466"/>
        </w:tabs>
        <w:spacing w:after="120" w:before="0"/>
      </w:pPr>
      <w:r>
        <w:rPr>
          <w:rFonts w:ascii="Arial" w:cs="Arial" w:eastAsia="Arial" w:hAnsi="Arial"/>
          <w:b w:val="false"/>
          <w:bCs w:val="false"/>
          <w:color w:val="A0BADE"/>
          <w:sz w:val="17"/>
          <w:szCs w:val="17"/>
        </w:rPr>
        <w:t xml:space="preserve">Version 2026.1  |  April 2026  |  Prepared by Jera Consulting (Pty) Ltd</w:t>
      </w:r>
      <w:r>
        <w:rPr>
          <w:rFonts w:ascii="Arial" w:cs="Arial" w:eastAsia="Arial" w:hAnsi="Arial"/>
          <w:b/>
          <w:bCs/>
          <w:color w:val="1B6FFF"/>
          <w:sz w:val="17"/>
          <w:szCs w:val="17"/>
        </w:rPr>
        <w:t xml:space="preserve">	JERA-POL-HR004</w:t>
      </w:r>
    </w:p>
    <w:p>
      <w:pPr>
        <w:pStyle w:val="Heading1"/>
      </w:pPr>
      <w:r>
        <w:t xml:space="preserve">Performance Management Policy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Jera Consulting (Pty) Ltd</w:t>
      </w:r>
    </w:p>
    <w:p>
      <w:pPr>
        <w:spacing w:after="20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2617"/>
        <w:gridCol w:w="2616"/>
      </w:tblGrid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A2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A2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A2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 / Role</w:t>
            </w:r>
          </w:p>
        </w:tc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A2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>Managing Director</w:t>
            </w:r>
          </w:p>
        </w:tc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>Managing Director</w:t>
            </w:r>
          </w:p>
        </w:tc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1. Objective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The Performance Management Policy provides a framework for systematically assessing and developing employee performance. It aligns individual objectives with company strategy and supports employee growth and motivation.</w:t>
      </w:r>
    </w:p>
    <w:p>
      <w:pPr>
        <w:pStyle w:val="Heading2"/>
      </w:pPr>
      <w: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This policy applies to all permanent employees of Jera Consulting (Pty) Ltd at all levels. Performance management is an ongoing process, not limited to formal reviews.</w:t>
      </w:r>
    </w:p>
    <w:p>
      <w:pPr>
        <w:pStyle w:val="Heading2"/>
      </w:pPr>
      <w:r>
        <w:t xml:space="preserve">3. Rationale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Effective performance management: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Clarifies expectations and aligns individual work with strategic objectives.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Identifies strengths and development needs.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Supports employee growth and career development.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Enables fair and consistent evaluation across the organisation.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Drives accountability and results.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Forms the basis for remuneration and recognition decisions.</w:t>
      </w:r>
    </w:p>
    <w:p>
      <w:pPr>
        <w:pStyle w:val="Heading2"/>
      </w:pPr>
      <w:r>
        <w:t xml:space="preserve">4. Core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Fairness and objectivity: Assessments are based on clearly defined criteria.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Transparency: Expectations, ratings, and feedback are communicated openly.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Development-focused: Performance management is a tool for growth, not punishment.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Continuous feedback: Feedback is provided regularly, not only at formal reviews.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Alignment: Individual objectives support company strategic goals.</w:t>
      </w:r>
    </w:p>
    <w:p>
      <w:pPr>
        <w:pStyle w:val="Heading2"/>
      </w:pPr>
      <w:r>
        <w:t xml:space="preserve">5. Jera Consulting Values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Performance is assessed against alignment with Jera's core values: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Client Orientation: Prioritises client needs and delivers exceptional 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Competency: Maintains professional expertise and continuous improvement.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Teamwork: Collaborates effectively and supports colleagues.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Fairness: Treats stakeholders with respect and impartiality.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Integrity: Acts honestly, transparently, and ethically.</w:t>
      </w:r>
    </w:p>
    <w:p>
      <w:pPr>
        <w:pStyle w:val="Heading2"/>
      </w:pPr>
      <w:r>
        <w:t xml:space="preserve">6. Balanced Scorecard Approach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Performance is assessed across four balanced perspectives:</w:t>
      </w:r>
    </w:p>
    <w:p>
      <w:pPr>
        <w:pStyle w:val="Heading3"/>
      </w:pPr>
      <w:r>
        <w:t xml:space="preserve">6.1 Financial/Business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Achievement of business objectives, revenue targets, profitability, and financial performance metrics relevant to the role.</w:t>
      </w:r>
    </w:p>
    <w:p>
      <w:pPr>
        <w:pStyle w:val="Heading3"/>
      </w:pPr>
      <w:r>
        <w:t xml:space="preserve">6.2 Client and Stakeholder Satisfaction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Client feedback, satisfaction scores, stakeholder relationships, and service delivery quality.</w:t>
      </w:r>
    </w:p>
    <w:p>
      <w:pPr>
        <w:pStyle w:val="Heading3"/>
      </w:pPr>
      <w:r>
        <w:t xml:space="preserve">6.3 Internal Processes and Innovation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Process improvement, efficiency, system compliance, adherence to procedures, and innovation contributions.</w:t>
      </w:r>
    </w:p>
    <w:p>
      <w:pPr>
        <w:pStyle w:val="Heading3"/>
      </w:pPr>
      <w:r>
        <w:t xml:space="preserve">6.4 Learning and Growth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Skills development, knowledge acquisition, training participation, certification achievement, and contribution to organisational knowledge.</w:t>
      </w:r>
    </w:p>
    <w:p>
      <w:pPr>
        <w:pStyle w:val="Heading2"/>
      </w:pPr>
      <w:r>
        <w:t xml:space="preserve">7. Performance Planning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At the beginning of each performance cycle (typically January), employees work with managers to establish performance objectives: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Objectives are aligned with department and company strategic goals.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Objectives are SMART: Specific, Measurable, Achievable, Relevant, Time-bound.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Individual and behavioural objectives are both considered.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Development needs and learning goals are identified.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 Personal Development Plan (PDP) is created for each employee.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Performance planning documents are completed and signed by employee and manager.</w:t>
      </w:r>
    </w:p>
    <w:p>
      <w:pPr>
        <w:pStyle w:val="Heading2"/>
      </w:pPr>
      <w:r>
        <w:t xml:space="preserve">8. Continuous Feedback and Coaching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Performance management is not limited to formal reviews: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Managers provide regular, informal feedback on performance.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Employees are encouraged to seek feedback and guidance.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Performance issues are addressed promptly through coaching and support.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Recognition is given for achievements and positive contributions.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Quarterly check-in meetings may be held to review progress.</w:t>
      </w:r>
    </w:p>
    <w:p>
      <w:pPr>
        <w:pStyle w:val="Heading2"/>
      </w:pPr>
      <w:r>
        <w:t xml:space="preserve">9. Formal Performance Review</w:t>
      </w:r>
    </w:p>
    <w:p>
      <w:pPr>
        <w:pStyle w:val="Heading3"/>
      </w:pPr>
      <w:r>
        <w:t xml:space="preserve">9.1 Review Schedule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Formal performance reviews are conducted annually, typically in September/October, for the period January to December. Probationary reviews may be conducted at 6 months of employment.</w:t>
      </w:r>
    </w:p>
    <w:p>
      <w:pPr>
        <w:pStyle w:val="Heading3"/>
      </w:pPr>
      <w:r>
        <w:t xml:space="preserve">9.2 Review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Employee completes self-assessment against planned objectives.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Manager completes performance rating and written evaluation.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Review meeting is conducted with employee to discuss rating and feedback.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Employee may provide written comments or 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Discussion focuses on achievements, development needs, and future objectives.</w:t>
      </w:r>
    </w:p>
    <w:p>
      <w:pPr>
        <w:pStyle w:val="Heading3"/>
      </w:pPr>
      <w:r>
        <w:t xml:space="preserve">9.3 Assessment Components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The review considers: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Achievement of performance objectives.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Demonstration of core values and behaviours.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Competency development and skill 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Adherence to policies and procedures.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Teamwork and collaboration.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Contribution to company success.</w:t>
      </w:r>
    </w:p>
    <w:p>
      <w:pPr>
        <w:pStyle w:val="Heading2"/>
      </w:pPr>
      <w:r>
        <w:t xml:space="preserve">10. Performance Rating Scale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Performance is rated on a five-point scale:</w:t>
      </w:r>
    </w:p>
    <w:p>
      <w:pPr>
        <w:pStyle w:val="Heading3"/>
      </w:pPr>
      <w:r>
        <w:t xml:space="preserve">Rating 5: Exceptional (Far Exceeds Expectations)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Consistently exceeds all performance objectives with outstanding results. Demonstrates exceptional behaviour and contributes significantly beyond the role requirements.</w:t>
      </w:r>
    </w:p>
    <w:p>
      <w:pPr>
        <w:pStyle w:val="Heading3"/>
      </w:pPr>
      <w:r>
        <w:t xml:space="preserve">Rating 4: Exceeds Expectations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Exceeds most performance objectives and demonstrates strong alignment with company values. Performance is notably above average.</w:t>
      </w:r>
    </w:p>
    <w:p>
      <w:pPr>
        <w:pStyle w:val="Heading3"/>
      </w:pPr>
      <w:r>
        <w:t xml:space="preserve">Rating 3: Meets Expectations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Achieves performance objectives and meets role requirements. Performance is satisfactory and meets company standards.</w:t>
      </w:r>
    </w:p>
    <w:p>
      <w:pPr>
        <w:pStyle w:val="Heading3"/>
      </w:pPr>
      <w:r>
        <w:t xml:space="preserve">Rating 2: Below Expectations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Does not fully achieve performance objectives. Performance is below acceptable standards in some areas.</w:t>
      </w:r>
    </w:p>
    <w:p>
      <w:pPr>
        <w:pStyle w:val="Heading3"/>
      </w:pPr>
      <w:r>
        <w:t xml:space="preserve">Rating 1: Does Not Meet Expectations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Significantly fails to meet performance objectives and role requirements. Performance is unsatisfactory.</w:t>
      </w:r>
    </w:p>
    <w:p>
      <w:pPr>
        <w:pStyle w:val="Heading2"/>
      </w:pPr>
      <w:r>
        <w:t xml:space="preserve">11. Performance Improvement Plan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Employees rated 2 or 1 may be placed on a Performance Improvement Plan (PIP):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Clear, measurable improvement objectives are 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Timeframe for improvement (typically 3-6 months) is specified.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Support and coaching are provided.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Progress is reviewed formally.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Continuation of employment may be contingent on improvement.</w:t>
      </w:r>
    </w:p>
    <w:p>
      <w:pPr>
        <w:pStyle w:val="Heading2"/>
      </w:pPr>
      <w:r>
        <w:t xml:space="preserve">12. Personal Development Plan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Each employee has a Personal Development Plan aligned with performance objectives: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Identifies skills and competencies requiring development.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Specifies training, education, or experience opportunities.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Includes mentoring or coaching arrangements.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Sets timelines for development activities.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Is reviewed and updated annually.</w:t>
      </w:r>
    </w:p>
    <w:p>
      <w:pPr>
        <w:pStyle w:val="Heading2"/>
      </w:pPr>
      <w:r>
        <w:t xml:space="preserve">13. Appeal Process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Employees may appeal their performance rating if they believe it is unfair or inaccurate: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Appeal must be submitted in writing within 5 working days of receiving the rating.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Appeal should specify the grounds for disagreement.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 senior manager not previously involved reviews the appeal.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Meeting is held with the employee to discuss the appeal.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Final decision is communicated in writing.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Appeal does not prevent action for addressing performance issues.</w:t>
      </w:r>
    </w:p>
    <w:p>
      <w:pPr>
        <w:pStyle w:val="Heading2"/>
      </w:pPr>
      <w:r>
        <w:t xml:space="preserve">14. Consequences of Performance Ratings</w:t>
      </w:r>
    </w:p>
    <w:p>
      <w:pPr>
        <w:pStyle w:val="Heading3"/>
      </w:pPr>
      <w:r>
        <w:t xml:space="preserve">14.1 Recognition and Rewards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Employees with ratings of 4 or 5 are eligible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Higher variable remuneration (bonus).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Recognition and acknowledgement.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Preferential consideration for promotion or advancement.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Leadership development opportunities.</w:t>
      </w:r>
    </w:p>
    <w:p>
      <w:pPr>
        <w:pStyle w:val="Heading3"/>
      </w:pPr>
      <w:r>
        <w:t xml:space="preserve">14.2 Performance Issues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Employees with ratings of 1 or 2 may be subject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Performance improvement plans and coaching.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Formal disciplinary processes if performance does not improve.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Suspension of bonuses or increases.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Reassignment or role change.</w:t>
      </w:r>
    </w:p>
    <w:p>
      <w:pPr>
        <w:pStyle w:val="Heading2"/>
      </w:pPr>
      <w:r>
        <w:t xml:space="preserve">15. Confidentiality and Privacy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Performance information is confidential and is shared only with: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The employee themselves.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Their direct manager.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HR and senior management (on a need-to-know basis).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External parties with employee consent or legal authority.</w:t>
      </w:r>
    </w:p>
    <w:p>
      <w:pPr>
        <w:pStyle w:val="Heading2"/>
      </w:pPr>
      <w:r>
        <w:t xml:space="preserve">16. Performance Management and Remuneration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Performance ratings directly influence remuneration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Bonus payments are determined by performance rating (see Remuneration Policy).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Salary increases are considered based on performance.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Remuneration reviews account for performance achievement.</w:t>
      </w:r>
    </w:p>
    <w:p>
      <w:pPr>
        <w:pStyle w:val="Heading2"/>
      </w:pPr>
      <w:r>
        <w:t xml:space="preserve">17. Policy Review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This policy is reviewed annually and may be updated based on company needs and legislative requirements. Employees will be informed of material changes.</w:t>
      </w:r>
    </w:p>
    <w:p>
      <w:pPr>
        <w:spacing w:after="0" w:before="300"/>
      </w:pPr>
    </w:p>
    <w:p>
      <w:pPr>
        <w:pStyle w:val="Heading2"/>
      </w:pPr>
      <w:r>
        <w:t xml:space="preserve">Sign-Off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This policy has been reviewed and approved by the undersigned.</w:t>
      </w:r>
    </w:p>
    <w:p>
      <w:pPr>
        <w:spacing w:after="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3116"/>
        <w:gridCol w:w="2117"/>
      </w:tblGrid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B6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B6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B6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1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B6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31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1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31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1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31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1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Communication and Amendments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Managers and team leaders must communicate this policy to all employees reporting to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This policy may be amended from time to time without prior consultation or notice, subject to applicable legislation.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The most current version of this policy will be made available on the company intranet or shared document repository.</w:t>
      </w:r>
    </w:p>
    <w:sectPr>
      <w:headerReference w:type="default" r:id="rId7"/>
      <w:footerReference w:type="default" r:id="rId8"/>
      <w:pgSz w:w="11906" w:h="16838" w:orient="portrait"/>
      <w:pgMar w:top="720" w:right="720" w:bottom="1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6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800"/>
      <w:gridCol w:w="3666"/>
    </w:tblGrid>
    <w:tr>
      <w:tc>
        <w:tcPr>
          <w:tcW w:type="dxa" w:w="6800"/>
          <w:tcBorders>
            <w:top w:val="single" w:color="DDE1EA" w:sz="4"/>
            <w:left w:val="none"/>
            <w:bottom w:val="none"/>
            <w:right w:val="none"/>
          </w:tcBorders>
          <w:tcMar>
            <w:top w:type="dxa" w:w="80"/>
            <w:left w:type="dxa" w:w="0"/>
            <w:bottom w:type="dxa" w:w="0"/>
            <w:right w:type="dxa" w:w="120"/>
          </w:tcMar>
        </w:tcPr>
        <w:p>
          <w:pPr>
            <w:spacing w:after="0" w:before="80"/>
          </w:pPr>
          <w:r>
            <w:rPr>
              <w:rFonts w:ascii="Arial" w:cs="Arial" w:eastAsia="Arial" w:hAnsi="Arial"/>
              <w:color w:val="8A98A8"/>
              <w:sz w:val="14"/>
              <w:szCs w:val="14"/>
            </w:rPr>
            <w:t xml:space="preserve">256 Rondebult Rd, Parkdene, Boksburg, 1459, Gauteng  |  Tel: +27(0)11-913-3320</w:t>
          </w:r>
        </w:p>
        <w:p>
          <w:pPr>
            <w:spacing w:after="0" w:before="20"/>
          </w:pPr>
          <w:r>
            <w:rPr>
              <w:rFonts w:ascii="Arial" w:cs="Arial" w:eastAsia="Arial" w:hAnsi="Arial"/>
              <w:color w:val="8A98A8"/>
              <w:sz w:val="14"/>
              <w:szCs w:val="14"/>
            </w:rPr>
            <w:t xml:space="preserve">Reg No: 1988/007393/07  |  VAT: 4210112126  |  Est. 1988</w:t>
          </w:r>
        </w:p>
        <w:p>
          <w:pPr>
            <w:spacing w:after="0" w:before="20"/>
          </w:pPr>
          <w:r>
            <w:rPr>
              <w:rFonts w:ascii="Arial" w:cs="Arial" w:eastAsia="Arial" w:hAnsi="Arial"/>
              <w:color w:val="8A98A8"/>
              <w:sz w:val="14"/>
              <w:szCs w:val="14"/>
            </w:rPr>
            <w:t xml:space="preserve">Directors: R.A. de Kock (Managing), C. Haasbroek</w:t>
          </w:r>
        </w:p>
      </w:tc>
      <w:tc>
        <w:tcPr>
          <w:tcW w:type="dxa" w:w="3666"/>
          <w:tcBorders>
            <w:top w:val="single" w:color="DDE1EA" w:sz="4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1B6FFF"/>
              <w:sz w:val="14"/>
              <w:szCs w:val="14"/>
            </w:rPr>
            <w:t xml:space="preserve">jera.co.za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FFF" w:sz="16" w:space="4"/>
      </w:pBdr>
      <w:spacing w:after="0"/>
      <w:jc w:val="left"/>
    </w:pPr>
    <w:r>
      <w:drawing>
        <wp:inline distT="0" distB="0" distL="0" distR="0">
          <wp:extent cx="1619250" cy="619125"/>
          <wp:effectExtent t="0" r="0" b="0" l="0"/>
          <wp:docPr id="1" name="JeraLogo" descr="Jera Consulting Logo" title="Jer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A5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jc w:val="center"/>
      <w:outlineLvl w:val="0"/>
    </w:pPr>
    <w:rPr>
      <w:rFonts w:ascii="Arial" w:cs="Arial" w:eastAsia="Arial" w:hAnsi="Arial"/>
      <w:b/>
      <w:bCs/>
      <w:color w:val="1A2F50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B6FFF" w:sz="8" w:space="4"/>
      </w:pBdr>
      <w:spacing w:after="120" w:before="240"/>
      <w:outlineLvl w:val="1"/>
    </w:pPr>
    <w:rPr>
      <w:rFonts w:ascii="Arial" w:cs="Arial" w:eastAsia="Arial" w:hAnsi="Arial"/>
      <w:b/>
      <w:bCs/>
      <w:color w:val="1B6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2F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2655ee311d7e1297b04267f2333d1d98c19f2f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3F60F771545E4FACCF5894FE890AE5" ma:contentTypeVersion="15" ma:contentTypeDescription="Create a new document." ma:contentTypeScope="" ma:versionID="2b5c8ba39e76d01cd5d87bb3fb98a620">
  <xsd:schema xmlns:xsd="http://www.w3.org/2001/XMLSchema" xmlns:xs="http://www.w3.org/2001/XMLSchema" xmlns:p="http://schemas.microsoft.com/office/2006/metadata/properties" xmlns:ns2="f32016ad-11d9-44d0-8f3a-f66ac62173df" xmlns:ns3="5392da11-5a5e-4873-aaa8-5acd18bf386b" targetNamespace="http://schemas.microsoft.com/office/2006/metadata/properties" ma:root="true" ma:fieldsID="6965f6421835919e11ab26e359dd715d" ns2:_="" ns3:_="">
    <xsd:import namespace="f32016ad-11d9-44d0-8f3a-f66ac62173df"/>
    <xsd:import namespace="5392da11-5a5e-4873-aaa8-5acd18bf3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16ad-11d9-44d0-8f3a-f66ac6217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e0656-4278-4ea6-a847-5feef18064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2da11-5a5e-4873-aaa8-5acd18bf38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5f4919-6599-4675-964d-ce44e3cd8aec}" ma:internalName="TaxCatchAll" ma:showField="CatchAllData" ma:web="5392da11-5a5e-4873-aaa8-5acd18bf38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92da11-5a5e-4873-aaa8-5acd18bf386b" xsi:nil="true"/>
    <lcf76f155ced4ddcb4097134ff3c332f xmlns="f32016ad-11d9-44d0-8f3a-f66ac62173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339FD7-63B2-4A75-B843-16D3936E6681}"/>
</file>

<file path=customXml/itemProps2.xml><?xml version="1.0" encoding="utf-8"?>
<ds:datastoreItem xmlns:ds="http://schemas.openxmlformats.org/officeDocument/2006/customXml" ds:itemID="{AEA4F5C5-8FBB-4AD6-98B9-528C7231F395}"/>
</file>

<file path=customXml/itemProps3.xml><?xml version="1.0" encoding="utf-8"?>
<ds:datastoreItem xmlns:ds="http://schemas.openxmlformats.org/officeDocument/2006/customXml" ds:itemID="{202B0EBC-6828-4D52-B8CD-58EE0E64C05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2026-04-13T13:54:13Z</dcterms:created>
  <dcterms:modified xsi:type="dcterms:W3CDTF">2026-04-13T13:54:13Z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0x010100133F60F771545E4FACCF5894FE890AE5</vt:lpwstr>
  </property>
  <property fmtid="{D5CDD505-2E9C-101B-9397-08002B2CF9AE}" pid="3" name="MediaServiceImageTags">
    <vt:lpwstr/>
  </property>
</Properties>
</file>